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pPr w:leftFromText="180" w:rightFromText="180" w:vertAnchor="text" w:tblpY="1"/>
        <w:tblOverlap w:val="never"/>
        <w:tblW w:w="5278" w:type="pct"/>
        <w:tblLayout w:type="fixed"/>
        <w:tblLook w:val="0620" w:firstRow="1" w:lastRow="0" w:firstColumn="0" w:lastColumn="0" w:noHBand="1" w:noVBand="1"/>
        <w:tblDescription w:val="Resume layout table"/>
      </w:tblPr>
      <w:tblGrid>
        <w:gridCol w:w="1980"/>
        <w:gridCol w:w="8280"/>
      </w:tblGrid>
      <w:tr w:rsidR="0022705D" w14:paraId="73E892A7" w14:textId="77777777" w:rsidTr="00AA0637">
        <w:trPr>
          <w:cnfStyle w:val="100000000000" w:firstRow="1" w:lastRow="0" w:firstColumn="0" w:lastColumn="0" w:oddVBand="0" w:evenVBand="0" w:oddHBand="0" w:evenHBand="0" w:firstRowFirstColumn="0" w:firstRowLastColumn="0" w:lastRowFirstColumn="0" w:lastRowLastColumn="0"/>
          <w:trHeight w:val="900"/>
        </w:trPr>
        <w:tc>
          <w:tcPr>
            <w:tcW w:w="10260" w:type="dxa"/>
            <w:gridSpan w:val="2"/>
          </w:tcPr>
          <w:p w14:paraId="10275C66" w14:textId="57EB9EDD" w:rsidR="0022705D" w:rsidRPr="0022705D" w:rsidRDefault="00FF3B2F" w:rsidP="00C01CCB">
            <w:pPr>
              <w:spacing w:after="0" w:line="240" w:lineRule="auto"/>
              <w:ind w:left="1354" w:right="101"/>
              <w:contextualSpacing/>
              <w:jc w:val="right"/>
              <w:rPr>
                <w:b/>
                <w:sz w:val="36"/>
                <w:szCs w:val="36"/>
              </w:rPr>
            </w:pPr>
            <w:r w:rsidRPr="0022705D">
              <w:rPr>
                <w:b/>
                <w:noProof/>
                <w:sz w:val="36"/>
                <w:szCs w:val="36"/>
              </w:rPr>
              <mc:AlternateContent>
                <mc:Choice Requires="wps">
                  <w:drawing>
                    <wp:anchor distT="0" distB="0" distL="0" distR="0" simplePos="0" relativeHeight="251661312" behindDoc="1" locked="0" layoutInCell="1" allowOverlap="1" wp14:anchorId="6AF21ACF" wp14:editId="6A5EE30A">
                      <wp:simplePos x="0" y="0"/>
                      <wp:positionH relativeFrom="page">
                        <wp:posOffset>0</wp:posOffset>
                      </wp:positionH>
                      <wp:positionV relativeFrom="paragraph">
                        <wp:posOffset>312420</wp:posOffset>
                      </wp:positionV>
                      <wp:extent cx="7701915" cy="33655"/>
                      <wp:effectExtent l="0" t="0" r="32385" b="234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915" cy="33655"/>
                              </a:xfrm>
                              <a:prstGeom prst="line">
                                <a:avLst/>
                              </a:prstGeom>
                              <a:noFill/>
                              <a:ln w="25400">
                                <a:solidFill>
                                  <a:srgbClr val="6F9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3FD0A" id="Straight Connector 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0,24.6pt" to="606.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" strokecolor="#6f9500" strokeweight="2pt">
                      <w10:wrap type="topAndBottom" anchorx="page"/>
                    </v:line>
                  </w:pict>
                </mc:Fallback>
              </mc:AlternateContent>
            </w:r>
            <w:r w:rsidR="0022705D" w:rsidRPr="0022705D">
              <w:rPr>
                <w:b/>
                <w:sz w:val="36"/>
                <w:szCs w:val="36"/>
              </w:rPr>
              <w:t xml:space="preserve">Anthony </w:t>
            </w:r>
            <w:r w:rsidR="006414C2">
              <w:rPr>
                <w:b/>
                <w:sz w:val="36"/>
                <w:szCs w:val="36"/>
              </w:rPr>
              <w:t xml:space="preserve">Q. </w:t>
            </w:r>
            <w:r w:rsidR="0022705D" w:rsidRPr="0022705D">
              <w:rPr>
                <w:b/>
                <w:sz w:val="36"/>
                <w:szCs w:val="36"/>
              </w:rPr>
              <w:t>Armstrong</w:t>
            </w:r>
          </w:p>
          <w:p w14:paraId="3066D43A" w14:textId="7988128D" w:rsidR="0022705D" w:rsidRPr="00712E27" w:rsidRDefault="0022705D" w:rsidP="00C01CCB">
            <w:pPr>
              <w:spacing w:after="0" w:line="240" w:lineRule="auto"/>
              <w:ind w:left="1354" w:right="101"/>
              <w:contextualSpacing/>
              <w:jc w:val="right"/>
              <w:rPr>
                <w:i/>
                <w:color w:val="auto"/>
              </w:rPr>
            </w:pPr>
            <w:r w:rsidRPr="00B418C6">
              <w:rPr>
                <w:i/>
                <w:color w:val="auto"/>
              </w:rPr>
              <w:t>Curriculum</w:t>
            </w:r>
            <w:r w:rsidRPr="00B418C6">
              <w:rPr>
                <w:i/>
                <w:color w:val="auto"/>
                <w:spacing w:val="-4"/>
              </w:rPr>
              <w:t xml:space="preserve"> </w:t>
            </w:r>
            <w:r w:rsidRPr="00B418C6">
              <w:rPr>
                <w:i/>
                <w:color w:val="auto"/>
              </w:rPr>
              <w:t>Vitae</w:t>
            </w:r>
          </w:p>
        </w:tc>
      </w:tr>
      <w:tr w:rsidR="00927723" w14:paraId="2450B84B" w14:textId="77777777" w:rsidTr="00C01CCB">
        <w:tc>
          <w:tcPr>
            <w:tcW w:w="1980" w:type="dxa"/>
          </w:tcPr>
          <w:p w14:paraId="3C4F0BDA" w14:textId="26045FB2" w:rsidR="00927723" w:rsidRPr="001D73D9" w:rsidRDefault="00723BDA" w:rsidP="00C01CCB">
            <w:pPr>
              <w:pStyle w:val="Heading1"/>
              <w:contextualSpacing/>
              <w:jc w:val="left"/>
              <w:outlineLvl w:val="0"/>
              <w:rPr>
                <w:sz w:val="20"/>
                <w:szCs w:val="20"/>
              </w:rPr>
            </w:pPr>
            <w:r w:rsidRPr="001D73D9">
              <w:rPr>
                <w:sz w:val="20"/>
                <w:szCs w:val="20"/>
              </w:rPr>
              <w:t>RESEARCH INTERESTS</w:t>
            </w:r>
          </w:p>
        </w:tc>
        <w:tc>
          <w:tcPr>
            <w:tcW w:w="8280" w:type="dxa"/>
          </w:tcPr>
          <w:p w14:paraId="3F867559" w14:textId="0829864D" w:rsidR="00927723" w:rsidRPr="00723BDA" w:rsidRDefault="00723BDA" w:rsidP="00C01CCB">
            <w:pPr>
              <w:spacing w:after="0" w:line="240" w:lineRule="auto"/>
              <w:contextualSpacing/>
              <w:jc w:val="both"/>
              <w:rPr>
                <w:sz w:val="20"/>
                <w:szCs w:val="20"/>
              </w:rPr>
            </w:pPr>
            <w:r w:rsidRPr="00723BDA">
              <w:rPr>
                <w:sz w:val="20"/>
                <w:szCs w:val="20"/>
              </w:rPr>
              <w:t xml:space="preserve">I am environmental health scientist </w:t>
            </w:r>
            <w:r w:rsidR="00DC6483">
              <w:rPr>
                <w:sz w:val="20"/>
                <w:szCs w:val="20"/>
              </w:rPr>
              <w:t xml:space="preserve">and leader of </w:t>
            </w:r>
            <w:r w:rsidRPr="00723BDA">
              <w:rPr>
                <w:sz w:val="20"/>
                <w:szCs w:val="20"/>
              </w:rPr>
              <w:t xml:space="preserve">the Environment </w:t>
            </w:r>
            <w:r w:rsidR="00712E27">
              <w:rPr>
                <w:sz w:val="20"/>
                <w:szCs w:val="20"/>
              </w:rPr>
              <w:t xml:space="preserve">Risk and Energy Analysis </w:t>
            </w:r>
            <w:r w:rsidRPr="00723BDA">
              <w:rPr>
                <w:sz w:val="20"/>
                <w:szCs w:val="20"/>
              </w:rPr>
              <w:t>group, Environmental Sciences Division, at the Oak Ridge National Laboratory. My work is focused on health assessment and development of computational methods in the areas of hazard exposure modeling</w:t>
            </w:r>
            <w:r w:rsidR="00EE7C72">
              <w:rPr>
                <w:sz w:val="20"/>
                <w:szCs w:val="20"/>
              </w:rPr>
              <w:t xml:space="preserve"> and simulation</w:t>
            </w:r>
            <w:r w:rsidRPr="00723BDA">
              <w:rPr>
                <w:sz w:val="20"/>
                <w:szCs w:val="20"/>
              </w:rPr>
              <w:t xml:space="preserve">, with an emphasis on uncertainty, risk, and decision analytics. Areas of application include quantitative </w:t>
            </w:r>
            <w:r w:rsidR="00EE7C72">
              <w:rPr>
                <w:sz w:val="20"/>
                <w:szCs w:val="20"/>
              </w:rPr>
              <w:t xml:space="preserve">chemical, biological, and radiological </w:t>
            </w:r>
            <w:r w:rsidRPr="00723BDA">
              <w:rPr>
                <w:sz w:val="20"/>
                <w:szCs w:val="20"/>
              </w:rPr>
              <w:t>hazard assessment</w:t>
            </w:r>
            <w:r w:rsidR="008C122D">
              <w:rPr>
                <w:sz w:val="20"/>
                <w:szCs w:val="20"/>
              </w:rPr>
              <w:t xml:space="preserve">, </w:t>
            </w:r>
            <w:r w:rsidRPr="00723BDA">
              <w:rPr>
                <w:sz w:val="20"/>
                <w:szCs w:val="20"/>
              </w:rPr>
              <w:t>data analytics, and environmental risk.</w:t>
            </w:r>
            <w:r w:rsidR="0036086B">
              <w:rPr>
                <w:sz w:val="20"/>
                <w:szCs w:val="20"/>
              </w:rPr>
              <w:t xml:space="preserve"> </w:t>
            </w:r>
            <w:r w:rsidRPr="00723BDA">
              <w:rPr>
                <w:sz w:val="20"/>
                <w:szCs w:val="20"/>
              </w:rPr>
              <w:t xml:space="preserve">Quantifying uncertainty and risk as well as understanding the implications of both for decision making is a recurring theme in my work. </w:t>
            </w:r>
          </w:p>
        </w:tc>
      </w:tr>
      <w:tr w:rsidR="00927723" w14:paraId="6B2BD852" w14:textId="77777777" w:rsidTr="00C01CCB">
        <w:tc>
          <w:tcPr>
            <w:tcW w:w="1980" w:type="dxa"/>
          </w:tcPr>
          <w:p w14:paraId="34071EDA" w14:textId="77777777" w:rsidR="00927723" w:rsidRPr="001D73D9" w:rsidRDefault="00927723" w:rsidP="00C01CCB">
            <w:pPr>
              <w:pStyle w:val="Heading1"/>
              <w:contextualSpacing/>
              <w:jc w:val="left"/>
              <w:outlineLvl w:val="0"/>
              <w:rPr>
                <w:sz w:val="20"/>
                <w:szCs w:val="20"/>
              </w:rPr>
            </w:pPr>
            <w:r w:rsidRPr="001D73D9">
              <w:rPr>
                <w:sz w:val="20"/>
                <w:szCs w:val="20"/>
              </w:rPr>
              <w:t>Experience</w:t>
            </w:r>
          </w:p>
        </w:tc>
        <w:tc>
          <w:tcPr>
            <w:tcW w:w="8280" w:type="dxa"/>
          </w:tcPr>
          <w:p w14:paraId="3CD0D42B" w14:textId="0FF2449F" w:rsidR="009D5BD8" w:rsidRPr="00EF0D68" w:rsidRDefault="009D5BD8" w:rsidP="00C01CCB">
            <w:pPr>
              <w:spacing w:after="0" w:line="240" w:lineRule="auto"/>
              <w:contextualSpacing/>
              <w:rPr>
                <w:b/>
                <w:color w:val="FF0000"/>
              </w:rPr>
            </w:pPr>
            <w:r>
              <w:rPr>
                <w:b/>
              </w:rPr>
              <w:t>Group Lead and Senior Research Staff,</w:t>
            </w:r>
            <w:r w:rsidR="00712E27">
              <w:rPr>
                <w:b/>
              </w:rPr>
              <w:t xml:space="preserve"> </w:t>
            </w:r>
            <w:r w:rsidRPr="009D5BD8">
              <w:rPr>
                <w:b/>
              </w:rPr>
              <w:t>Environment</w:t>
            </w:r>
            <w:r w:rsidR="00712E27">
              <w:rPr>
                <w:b/>
              </w:rPr>
              <w:t xml:space="preserve"> Risk and Energy Analysis</w:t>
            </w:r>
            <w:r>
              <w:rPr>
                <w:b/>
              </w:rPr>
              <w:t xml:space="preserve"> Group</w:t>
            </w:r>
            <w:r w:rsidR="008C122D">
              <w:rPr>
                <w:b/>
              </w:rPr>
              <w:t>, ESD</w:t>
            </w:r>
            <w:r w:rsidR="00EF0D68">
              <w:rPr>
                <w:b/>
              </w:rPr>
              <w:t xml:space="preserve"> </w:t>
            </w:r>
          </w:p>
          <w:p w14:paraId="4F03DD56" w14:textId="2B74A8CE" w:rsidR="009D5BD8" w:rsidRDefault="009D5BD8" w:rsidP="00C01CCB">
            <w:pPr>
              <w:spacing w:after="0" w:line="240" w:lineRule="auto"/>
              <w:contextualSpacing/>
              <w:rPr>
                <w:bCs/>
                <w:sz w:val="20"/>
                <w:szCs w:val="20"/>
              </w:rPr>
            </w:pPr>
            <w:r w:rsidRPr="009D5BD8">
              <w:rPr>
                <w:bCs/>
                <w:sz w:val="20"/>
                <w:szCs w:val="20"/>
              </w:rPr>
              <w:t>2019 to present</w:t>
            </w:r>
          </w:p>
          <w:p w14:paraId="19336830" w14:textId="21FC67DF" w:rsidR="009D5BD8" w:rsidRPr="00042028" w:rsidRDefault="00042028" w:rsidP="00C01CCB">
            <w:pPr>
              <w:spacing w:after="0" w:line="240" w:lineRule="auto"/>
              <w:contextualSpacing/>
              <w:rPr>
                <w:bCs/>
                <w:sz w:val="20"/>
                <w:szCs w:val="20"/>
              </w:rPr>
            </w:pPr>
            <w:r w:rsidRPr="00042028">
              <w:rPr>
                <w:bCs/>
                <w:sz w:val="20"/>
                <w:szCs w:val="20"/>
              </w:rPr>
              <w:t>As</w:t>
            </w:r>
            <w:r>
              <w:rPr>
                <w:bCs/>
                <w:sz w:val="20"/>
                <w:szCs w:val="20"/>
              </w:rPr>
              <w:t xml:space="preserve"> group </w:t>
            </w:r>
            <w:r w:rsidRPr="00042028">
              <w:rPr>
                <w:bCs/>
                <w:sz w:val="20"/>
                <w:szCs w:val="20"/>
              </w:rPr>
              <w:t xml:space="preserve">lead, I </w:t>
            </w:r>
            <w:r>
              <w:rPr>
                <w:bCs/>
                <w:sz w:val="20"/>
                <w:szCs w:val="20"/>
              </w:rPr>
              <w:t xml:space="preserve">work with and </w:t>
            </w:r>
            <w:r w:rsidRPr="00042028">
              <w:rPr>
                <w:bCs/>
                <w:sz w:val="20"/>
                <w:szCs w:val="20"/>
              </w:rPr>
              <w:t>oversee a diverse and talented group of ORNL staff, post-docs, interns and students. Research by this</w:t>
            </w:r>
            <w:r>
              <w:rPr>
                <w:bCs/>
                <w:sz w:val="20"/>
                <w:szCs w:val="20"/>
              </w:rPr>
              <w:t xml:space="preserve"> group </w:t>
            </w:r>
            <w:r w:rsidRPr="00042028">
              <w:rPr>
                <w:bCs/>
                <w:sz w:val="20"/>
                <w:szCs w:val="20"/>
              </w:rPr>
              <w:t>spans a wide spectrum of expertise including health science, toxicology, environmental chemistry, exposure and dose response modeling and simulation,</w:t>
            </w:r>
            <w:r>
              <w:rPr>
                <w:bCs/>
                <w:sz w:val="20"/>
                <w:szCs w:val="20"/>
              </w:rPr>
              <w:t xml:space="preserve"> </w:t>
            </w:r>
            <w:r w:rsidR="00EE7C72">
              <w:rPr>
                <w:bCs/>
                <w:sz w:val="20"/>
                <w:szCs w:val="20"/>
              </w:rPr>
              <w:t xml:space="preserve">sustainable </w:t>
            </w:r>
            <w:r>
              <w:rPr>
                <w:bCs/>
                <w:sz w:val="20"/>
                <w:szCs w:val="20"/>
              </w:rPr>
              <w:t>energy economic</w:t>
            </w:r>
            <w:r w:rsidR="00EE7C72">
              <w:rPr>
                <w:bCs/>
                <w:sz w:val="20"/>
                <w:szCs w:val="20"/>
              </w:rPr>
              <w:t xml:space="preserve"> and security</w:t>
            </w:r>
            <w:r>
              <w:rPr>
                <w:bCs/>
                <w:sz w:val="20"/>
                <w:szCs w:val="20"/>
              </w:rPr>
              <w:t xml:space="preserve"> analysis</w:t>
            </w:r>
            <w:r w:rsidRPr="00042028">
              <w:rPr>
                <w:bCs/>
                <w:sz w:val="20"/>
                <w:szCs w:val="20"/>
              </w:rPr>
              <w:t xml:space="preserve">, and data analytic challenges applied to environmental </w:t>
            </w:r>
            <w:r w:rsidR="00590BC5">
              <w:rPr>
                <w:bCs/>
                <w:sz w:val="20"/>
                <w:szCs w:val="20"/>
              </w:rPr>
              <w:t xml:space="preserve">and energy </w:t>
            </w:r>
            <w:r w:rsidRPr="00042028">
              <w:rPr>
                <w:bCs/>
                <w:sz w:val="20"/>
                <w:szCs w:val="20"/>
              </w:rPr>
              <w:t xml:space="preserve">research domains. </w:t>
            </w:r>
            <w:r w:rsidR="00714DFC">
              <w:rPr>
                <w:bCs/>
                <w:sz w:val="20"/>
                <w:szCs w:val="20"/>
              </w:rPr>
              <w:t>Group</w:t>
            </w:r>
            <w:r w:rsidR="00372022">
              <w:rPr>
                <w:bCs/>
                <w:sz w:val="20"/>
                <w:szCs w:val="20"/>
              </w:rPr>
              <w:t xml:space="preserve"> members lead and support </w:t>
            </w:r>
            <w:r w:rsidR="004431BD">
              <w:rPr>
                <w:bCs/>
                <w:sz w:val="20"/>
                <w:szCs w:val="20"/>
              </w:rPr>
              <w:t>interdisciplinary</w:t>
            </w:r>
            <w:r w:rsidR="00372022">
              <w:rPr>
                <w:bCs/>
                <w:sz w:val="20"/>
                <w:szCs w:val="20"/>
              </w:rPr>
              <w:t xml:space="preserve"> research teams across ORNL, the DOE complex and other federal and university entities in collaborative efforts to shape and advance respective research missions of DOE and the federal government. </w:t>
            </w:r>
            <w:r w:rsidRPr="00042028">
              <w:rPr>
                <w:bCs/>
                <w:sz w:val="20"/>
                <w:szCs w:val="20"/>
              </w:rPr>
              <w:t>As</w:t>
            </w:r>
            <w:r w:rsidR="00372022">
              <w:rPr>
                <w:bCs/>
                <w:sz w:val="20"/>
                <w:szCs w:val="20"/>
              </w:rPr>
              <w:t xml:space="preserve"> a</w:t>
            </w:r>
            <w:r w:rsidRPr="00042028">
              <w:rPr>
                <w:bCs/>
                <w:sz w:val="20"/>
                <w:szCs w:val="20"/>
              </w:rPr>
              <w:t xml:space="preserve"> researcher, my work is typically computational in nature with a focus on hazard assessments, development of health protective guid</w:t>
            </w:r>
            <w:r w:rsidR="004C0678">
              <w:rPr>
                <w:bCs/>
                <w:sz w:val="20"/>
                <w:szCs w:val="20"/>
              </w:rPr>
              <w:t>ance</w:t>
            </w:r>
            <w:r w:rsidRPr="00042028">
              <w:rPr>
                <w:bCs/>
                <w:sz w:val="20"/>
                <w:szCs w:val="20"/>
              </w:rPr>
              <w:t>, uncertainty analysis, risk, and decision support. As a PI, I currently lead the Military Occupational and Environmental Health Assessment for Multiple Hazards Project for DoD</w:t>
            </w:r>
            <w:r w:rsidR="00EE7C72">
              <w:rPr>
                <w:bCs/>
                <w:sz w:val="20"/>
                <w:szCs w:val="20"/>
              </w:rPr>
              <w:t xml:space="preserve"> and the </w:t>
            </w:r>
            <w:r w:rsidRPr="00042028">
              <w:rPr>
                <w:bCs/>
                <w:sz w:val="20"/>
                <w:szCs w:val="20"/>
              </w:rPr>
              <w:t>Risk Analysis and</w:t>
            </w:r>
            <w:r w:rsidR="008C122D">
              <w:rPr>
                <w:bCs/>
                <w:sz w:val="20"/>
                <w:szCs w:val="20"/>
              </w:rPr>
              <w:t xml:space="preserve"> </w:t>
            </w:r>
            <w:r w:rsidRPr="00042028">
              <w:rPr>
                <w:bCs/>
                <w:sz w:val="20"/>
                <w:szCs w:val="20"/>
              </w:rPr>
              <w:t>Toxicological Decision-Making Research Project for EPA</w:t>
            </w:r>
            <w:r w:rsidR="00EE7C72">
              <w:rPr>
                <w:bCs/>
                <w:sz w:val="20"/>
                <w:szCs w:val="20"/>
              </w:rPr>
              <w:t>.</w:t>
            </w:r>
            <w:r>
              <w:rPr>
                <w:bCs/>
                <w:sz w:val="20"/>
                <w:szCs w:val="20"/>
              </w:rPr>
              <w:t xml:space="preserve"> I also </w:t>
            </w:r>
            <w:r w:rsidRPr="00042028">
              <w:rPr>
                <w:bCs/>
                <w:sz w:val="20"/>
                <w:szCs w:val="20"/>
              </w:rPr>
              <w:t>significantly contribute to</w:t>
            </w:r>
            <w:r w:rsidR="008F099E">
              <w:rPr>
                <w:bCs/>
                <w:sz w:val="20"/>
                <w:szCs w:val="20"/>
              </w:rPr>
              <w:t xml:space="preserve"> </w:t>
            </w:r>
            <w:r w:rsidRPr="00042028">
              <w:rPr>
                <w:bCs/>
                <w:sz w:val="20"/>
                <w:szCs w:val="20"/>
              </w:rPr>
              <w:t xml:space="preserve">other </w:t>
            </w:r>
            <w:r w:rsidR="008F78E2">
              <w:rPr>
                <w:bCs/>
                <w:sz w:val="20"/>
                <w:szCs w:val="20"/>
              </w:rPr>
              <w:t>research efforts</w:t>
            </w:r>
            <w:r w:rsidRPr="00042028">
              <w:rPr>
                <w:bCs/>
                <w:sz w:val="20"/>
                <w:szCs w:val="20"/>
              </w:rPr>
              <w:t xml:space="preserve"> within the </w:t>
            </w:r>
            <w:r w:rsidR="00247DC0">
              <w:rPr>
                <w:bCs/>
                <w:sz w:val="20"/>
                <w:szCs w:val="20"/>
              </w:rPr>
              <w:t>g</w:t>
            </w:r>
            <w:r w:rsidRPr="00042028">
              <w:rPr>
                <w:bCs/>
                <w:sz w:val="20"/>
                <w:szCs w:val="20"/>
              </w:rPr>
              <w:t>roup</w:t>
            </w:r>
            <w:r>
              <w:rPr>
                <w:bCs/>
                <w:sz w:val="20"/>
                <w:szCs w:val="20"/>
              </w:rPr>
              <w:t xml:space="preserve">, </w:t>
            </w:r>
            <w:r w:rsidR="00BC4E11">
              <w:rPr>
                <w:bCs/>
                <w:sz w:val="20"/>
                <w:szCs w:val="20"/>
              </w:rPr>
              <w:t xml:space="preserve">the </w:t>
            </w:r>
            <w:r w:rsidR="004C5A5A">
              <w:rPr>
                <w:bCs/>
                <w:sz w:val="20"/>
                <w:szCs w:val="20"/>
              </w:rPr>
              <w:t>Biological and</w:t>
            </w:r>
            <w:r w:rsidR="00BC4E11">
              <w:rPr>
                <w:bCs/>
                <w:sz w:val="20"/>
                <w:szCs w:val="20"/>
              </w:rPr>
              <w:t xml:space="preserve"> Environmental </w:t>
            </w:r>
            <w:r w:rsidR="004C5A5A">
              <w:rPr>
                <w:bCs/>
                <w:sz w:val="20"/>
                <w:szCs w:val="20"/>
              </w:rPr>
              <w:t xml:space="preserve">Systems </w:t>
            </w:r>
            <w:r w:rsidR="00BC4E11">
              <w:rPr>
                <w:bCs/>
                <w:sz w:val="20"/>
                <w:szCs w:val="20"/>
              </w:rPr>
              <w:t>Science Directorate and the National Security Sciences Directorate</w:t>
            </w:r>
            <w:r w:rsidRPr="00042028">
              <w:rPr>
                <w:bCs/>
                <w:sz w:val="20"/>
                <w:szCs w:val="20"/>
              </w:rPr>
              <w:t>.</w:t>
            </w:r>
            <w:r w:rsidR="00FE6210">
              <w:rPr>
                <w:bCs/>
                <w:sz w:val="20"/>
                <w:szCs w:val="20"/>
              </w:rPr>
              <w:t xml:space="preserve">       </w:t>
            </w:r>
          </w:p>
          <w:p w14:paraId="776A34AC" w14:textId="77777777" w:rsidR="007B66A2" w:rsidRDefault="007B66A2" w:rsidP="00C01CCB">
            <w:pPr>
              <w:spacing w:after="0" w:line="240" w:lineRule="auto"/>
              <w:contextualSpacing/>
              <w:rPr>
                <w:b/>
              </w:rPr>
            </w:pPr>
          </w:p>
          <w:p w14:paraId="43BCF1F8" w14:textId="0F8AC9F7" w:rsidR="00807953" w:rsidRPr="00807953" w:rsidRDefault="003A41D1" w:rsidP="00C01CCB">
            <w:pPr>
              <w:spacing w:after="0" w:line="240" w:lineRule="auto"/>
              <w:contextualSpacing/>
              <w:rPr>
                <w:b/>
              </w:rPr>
            </w:pPr>
            <w:r>
              <w:rPr>
                <w:b/>
              </w:rPr>
              <w:t xml:space="preserve">Team Lead and </w:t>
            </w:r>
            <w:r w:rsidR="004F2514">
              <w:rPr>
                <w:b/>
              </w:rPr>
              <w:t xml:space="preserve">Senior Research Staff, </w:t>
            </w:r>
            <w:r w:rsidR="00807953" w:rsidRPr="00807953">
              <w:rPr>
                <w:b/>
              </w:rPr>
              <w:t>Health Risk and Regulatory Analysis</w:t>
            </w:r>
            <w:r w:rsidR="008C122D">
              <w:rPr>
                <w:b/>
              </w:rPr>
              <w:t xml:space="preserve">, </w:t>
            </w:r>
            <w:r w:rsidR="001D5B19" w:rsidRPr="001D5B19">
              <w:rPr>
                <w:b/>
              </w:rPr>
              <w:t>Human Health Risk and Environmental Analysis Group</w:t>
            </w:r>
            <w:r w:rsidR="001D5B19">
              <w:rPr>
                <w:b/>
              </w:rPr>
              <w:t xml:space="preserve">, </w:t>
            </w:r>
            <w:r w:rsidR="008C122D">
              <w:rPr>
                <w:b/>
              </w:rPr>
              <w:t>ESD</w:t>
            </w:r>
            <w:r w:rsidR="00807953" w:rsidRPr="00807953">
              <w:rPr>
                <w:b/>
              </w:rPr>
              <w:t xml:space="preserve"> </w:t>
            </w:r>
          </w:p>
          <w:p w14:paraId="0C8B62A0" w14:textId="37E9F079" w:rsidR="00723BDA" w:rsidRPr="00807953" w:rsidRDefault="00723BDA" w:rsidP="00C01CCB">
            <w:pPr>
              <w:spacing w:after="0" w:line="312" w:lineRule="auto"/>
              <w:contextualSpacing/>
            </w:pPr>
            <w:r w:rsidRPr="00024C76">
              <w:rPr>
                <w:sz w:val="20"/>
                <w:szCs w:val="20"/>
              </w:rPr>
              <w:t>201</w:t>
            </w:r>
            <w:r w:rsidR="009D5BD8">
              <w:rPr>
                <w:sz w:val="20"/>
                <w:szCs w:val="20"/>
              </w:rPr>
              <w:t>7</w:t>
            </w:r>
            <w:r w:rsidRPr="00024C76">
              <w:rPr>
                <w:sz w:val="20"/>
                <w:szCs w:val="20"/>
              </w:rPr>
              <w:t xml:space="preserve"> – </w:t>
            </w:r>
            <w:r w:rsidR="009D5BD8">
              <w:rPr>
                <w:sz w:val="20"/>
                <w:szCs w:val="20"/>
              </w:rPr>
              <w:t>2019</w:t>
            </w:r>
          </w:p>
          <w:p w14:paraId="0E97A581" w14:textId="77777777" w:rsidR="00AA0637" w:rsidRDefault="00723BDA" w:rsidP="00A54DEC">
            <w:pPr>
              <w:spacing w:after="0" w:line="240" w:lineRule="auto"/>
              <w:contextualSpacing/>
              <w:jc w:val="both"/>
              <w:rPr>
                <w:sz w:val="20"/>
                <w:szCs w:val="20"/>
              </w:rPr>
            </w:pPr>
            <w:r w:rsidRPr="00024C76">
              <w:rPr>
                <w:sz w:val="20"/>
                <w:szCs w:val="20"/>
              </w:rPr>
              <w:t xml:space="preserve">Research by this team </w:t>
            </w:r>
            <w:r w:rsidR="000762E0">
              <w:rPr>
                <w:sz w:val="20"/>
                <w:szCs w:val="20"/>
              </w:rPr>
              <w:t>focuses on</w:t>
            </w:r>
            <w:r w:rsidRPr="00024C76">
              <w:rPr>
                <w:sz w:val="20"/>
                <w:szCs w:val="20"/>
              </w:rPr>
              <w:t xml:space="preserve"> </w:t>
            </w:r>
            <w:r w:rsidR="00905FC3">
              <w:rPr>
                <w:sz w:val="20"/>
                <w:szCs w:val="20"/>
              </w:rPr>
              <w:t>exposure assessment</w:t>
            </w:r>
            <w:r w:rsidR="00D82DE0">
              <w:rPr>
                <w:sz w:val="20"/>
                <w:szCs w:val="20"/>
              </w:rPr>
              <w:t>, toxicology</w:t>
            </w:r>
            <w:r w:rsidR="00905FC3">
              <w:rPr>
                <w:sz w:val="20"/>
                <w:szCs w:val="20"/>
              </w:rPr>
              <w:t xml:space="preserve">, </w:t>
            </w:r>
            <w:r w:rsidR="00D82DE0">
              <w:rPr>
                <w:sz w:val="20"/>
                <w:szCs w:val="20"/>
              </w:rPr>
              <w:t xml:space="preserve">dose response </w:t>
            </w:r>
            <w:r w:rsidRPr="00024C76">
              <w:rPr>
                <w:sz w:val="20"/>
                <w:szCs w:val="20"/>
              </w:rPr>
              <w:t>modeling and simulation</w:t>
            </w:r>
            <w:r w:rsidR="008F099E">
              <w:rPr>
                <w:sz w:val="20"/>
                <w:szCs w:val="20"/>
              </w:rPr>
              <w:t>, and computational tools</w:t>
            </w:r>
            <w:r w:rsidR="000762E0">
              <w:rPr>
                <w:sz w:val="20"/>
                <w:szCs w:val="20"/>
              </w:rPr>
              <w:t xml:space="preserve"> to </w:t>
            </w:r>
            <w:r w:rsidR="008F748D">
              <w:rPr>
                <w:sz w:val="20"/>
                <w:szCs w:val="20"/>
              </w:rPr>
              <w:t>inform</w:t>
            </w:r>
            <w:r w:rsidR="000762E0">
              <w:rPr>
                <w:sz w:val="20"/>
                <w:szCs w:val="20"/>
              </w:rPr>
              <w:t xml:space="preserve"> risk-based decisions in a health and environmental protective</w:t>
            </w:r>
            <w:r w:rsidR="009375DA">
              <w:rPr>
                <w:sz w:val="20"/>
                <w:szCs w:val="20"/>
              </w:rPr>
              <w:t xml:space="preserve"> </w:t>
            </w:r>
            <w:r w:rsidR="000762E0">
              <w:rPr>
                <w:sz w:val="20"/>
                <w:szCs w:val="20"/>
              </w:rPr>
              <w:t>context</w:t>
            </w:r>
            <w:r w:rsidR="00905FC3">
              <w:rPr>
                <w:sz w:val="20"/>
                <w:szCs w:val="20"/>
              </w:rPr>
              <w:t>.</w:t>
            </w:r>
            <w:r w:rsidR="00C56E3C">
              <w:rPr>
                <w:sz w:val="20"/>
                <w:szCs w:val="20"/>
              </w:rPr>
              <w:t xml:space="preserve"> </w:t>
            </w:r>
            <w:r w:rsidR="00A54DEC">
              <w:rPr>
                <w:sz w:val="20"/>
                <w:szCs w:val="20"/>
              </w:rPr>
              <w:t>Staff and university collaborators</w:t>
            </w:r>
            <w:r w:rsidR="009375DA">
              <w:rPr>
                <w:sz w:val="20"/>
                <w:szCs w:val="20"/>
              </w:rPr>
              <w:t xml:space="preserve"> d</w:t>
            </w:r>
            <w:r w:rsidR="00C56E3C">
              <w:rPr>
                <w:sz w:val="20"/>
                <w:szCs w:val="20"/>
              </w:rPr>
              <w:t>eveloped enhanced vapor intrusion computational model</w:t>
            </w:r>
            <w:r w:rsidR="006E2284">
              <w:rPr>
                <w:sz w:val="20"/>
                <w:szCs w:val="20"/>
              </w:rPr>
              <w:t>s</w:t>
            </w:r>
            <w:r w:rsidR="00C56E3C">
              <w:rPr>
                <w:sz w:val="20"/>
                <w:szCs w:val="20"/>
              </w:rPr>
              <w:t xml:space="preserve"> to assess volatile chemical and radon exposures in buildings for EPA. These computational tools </w:t>
            </w:r>
            <w:r w:rsidR="009375DA">
              <w:rPr>
                <w:sz w:val="20"/>
                <w:szCs w:val="20"/>
              </w:rPr>
              <w:t>are</w:t>
            </w:r>
            <w:r w:rsidR="00C56E3C">
              <w:rPr>
                <w:sz w:val="20"/>
                <w:szCs w:val="20"/>
              </w:rPr>
              <w:t xml:space="preserve"> incorporated into web-based environmental health assessment expert systems for use by risk assessors</w:t>
            </w:r>
            <w:r w:rsidR="00714DFC">
              <w:rPr>
                <w:sz w:val="20"/>
                <w:szCs w:val="20"/>
              </w:rPr>
              <w:t xml:space="preserve"> and stakeholders throughout the environmental health protection community of practice. </w:t>
            </w:r>
            <w:r w:rsidR="00A54DEC">
              <w:rPr>
                <w:sz w:val="20"/>
                <w:szCs w:val="20"/>
              </w:rPr>
              <w:t>Staff d</w:t>
            </w:r>
            <w:r w:rsidR="00714DFC">
              <w:rPr>
                <w:sz w:val="20"/>
                <w:szCs w:val="20"/>
              </w:rPr>
              <w:t xml:space="preserve">eveloped analytical toxicity models for chemical additives </w:t>
            </w:r>
            <w:r w:rsidR="006E2284">
              <w:rPr>
                <w:sz w:val="20"/>
                <w:szCs w:val="20"/>
              </w:rPr>
              <w:t>in</w:t>
            </w:r>
            <w:r w:rsidR="00714DFC">
              <w:rPr>
                <w:sz w:val="20"/>
                <w:szCs w:val="20"/>
              </w:rPr>
              <w:t xml:space="preserve"> food</w:t>
            </w:r>
            <w:r w:rsidR="006E2284">
              <w:rPr>
                <w:sz w:val="20"/>
                <w:szCs w:val="20"/>
              </w:rPr>
              <w:t>s</w:t>
            </w:r>
            <w:r w:rsidR="00714DFC">
              <w:rPr>
                <w:sz w:val="20"/>
                <w:szCs w:val="20"/>
              </w:rPr>
              <w:t xml:space="preserve"> and food packaging to support food safety assessments for FDA. </w:t>
            </w:r>
            <w:r w:rsidR="00453F43">
              <w:rPr>
                <w:sz w:val="20"/>
                <w:szCs w:val="20"/>
              </w:rPr>
              <w:t>Enhancements to foundational c</w:t>
            </w:r>
            <w:r w:rsidR="00714DFC">
              <w:rPr>
                <w:sz w:val="20"/>
                <w:szCs w:val="20"/>
              </w:rPr>
              <w:t>hemical</w:t>
            </w:r>
            <w:r w:rsidR="00453F43">
              <w:rPr>
                <w:sz w:val="20"/>
                <w:szCs w:val="20"/>
              </w:rPr>
              <w:t xml:space="preserve"> </w:t>
            </w:r>
            <w:r w:rsidR="00714DFC">
              <w:rPr>
                <w:sz w:val="20"/>
                <w:szCs w:val="20"/>
              </w:rPr>
              <w:t>specific quantitative structure analysis</w:t>
            </w:r>
            <w:r w:rsidR="009375DA">
              <w:rPr>
                <w:sz w:val="20"/>
                <w:szCs w:val="20"/>
              </w:rPr>
              <w:t xml:space="preserve"> for predictive toxicology</w:t>
            </w:r>
            <w:r w:rsidR="00453F43">
              <w:rPr>
                <w:sz w:val="20"/>
                <w:szCs w:val="20"/>
              </w:rPr>
              <w:t xml:space="preserve"> </w:t>
            </w:r>
            <w:r w:rsidR="00714DFC">
              <w:rPr>
                <w:sz w:val="20"/>
                <w:szCs w:val="20"/>
              </w:rPr>
              <w:t xml:space="preserve">increased the toxicological library for food additives of interest. For DOE </w:t>
            </w:r>
            <w:r w:rsidR="00247DC0">
              <w:rPr>
                <w:sz w:val="20"/>
                <w:szCs w:val="20"/>
              </w:rPr>
              <w:t xml:space="preserve">environmental health and safety and </w:t>
            </w:r>
            <w:r w:rsidR="00714DFC">
              <w:rPr>
                <w:sz w:val="20"/>
                <w:szCs w:val="20"/>
              </w:rPr>
              <w:t xml:space="preserve">environmental </w:t>
            </w:r>
            <w:r w:rsidR="00247DC0">
              <w:rPr>
                <w:sz w:val="20"/>
                <w:szCs w:val="20"/>
              </w:rPr>
              <w:t>management programs</w:t>
            </w:r>
            <w:r w:rsidR="00714DFC">
              <w:rPr>
                <w:sz w:val="20"/>
                <w:szCs w:val="20"/>
              </w:rPr>
              <w:t xml:space="preserve">, </w:t>
            </w:r>
            <w:r w:rsidR="00A54DEC">
              <w:rPr>
                <w:sz w:val="20"/>
                <w:szCs w:val="20"/>
              </w:rPr>
              <w:t xml:space="preserve">staff and university collaborators </w:t>
            </w:r>
            <w:r w:rsidR="00247DC0">
              <w:rPr>
                <w:sz w:val="20"/>
                <w:szCs w:val="20"/>
              </w:rPr>
              <w:t xml:space="preserve">developed enhanced </w:t>
            </w:r>
            <w:r w:rsidR="00247DC0" w:rsidRPr="00247DC0">
              <w:rPr>
                <w:sz w:val="20"/>
                <w:szCs w:val="20"/>
              </w:rPr>
              <w:t>Derived Concentration Standards</w:t>
            </w:r>
            <w:r w:rsidR="00247DC0">
              <w:rPr>
                <w:sz w:val="20"/>
                <w:szCs w:val="20"/>
              </w:rPr>
              <w:t xml:space="preserve"> </w:t>
            </w:r>
            <w:r w:rsidR="00247DC0" w:rsidRPr="00247DC0">
              <w:rPr>
                <w:sz w:val="20"/>
                <w:szCs w:val="20"/>
              </w:rPr>
              <w:t>for exposure to each of 1252 radionuclides via inhalation, ingestion, or external irradiation from submersion in contaminated air.</w:t>
            </w:r>
            <w:r w:rsidR="00247DC0">
              <w:rPr>
                <w:sz w:val="20"/>
                <w:szCs w:val="20"/>
              </w:rPr>
              <w:t xml:space="preserve"> These </w:t>
            </w:r>
            <w:r w:rsidR="00247DC0" w:rsidRPr="00247DC0">
              <w:rPr>
                <w:sz w:val="20"/>
                <w:szCs w:val="20"/>
              </w:rPr>
              <w:t>values are used in the design and implementation of environmental radiation protection programs at</w:t>
            </w:r>
            <w:r w:rsidR="00247DC0">
              <w:rPr>
                <w:sz w:val="20"/>
                <w:szCs w:val="20"/>
              </w:rPr>
              <w:t xml:space="preserve"> </w:t>
            </w:r>
            <w:r w:rsidR="00247DC0" w:rsidRPr="00247DC0">
              <w:rPr>
                <w:sz w:val="20"/>
                <w:szCs w:val="20"/>
              </w:rPr>
              <w:t xml:space="preserve">facilities </w:t>
            </w:r>
            <w:r w:rsidR="00453F43">
              <w:rPr>
                <w:sz w:val="20"/>
                <w:szCs w:val="20"/>
              </w:rPr>
              <w:t>throughout</w:t>
            </w:r>
            <w:r w:rsidR="00247DC0">
              <w:rPr>
                <w:sz w:val="20"/>
                <w:szCs w:val="20"/>
              </w:rPr>
              <w:t xml:space="preserve"> the DOE </w:t>
            </w:r>
            <w:r w:rsidR="00247DC0" w:rsidRPr="00247DC0">
              <w:rPr>
                <w:sz w:val="20"/>
                <w:szCs w:val="20"/>
              </w:rPr>
              <w:t>complex</w:t>
            </w:r>
            <w:r w:rsidR="00AD4DA9">
              <w:rPr>
                <w:sz w:val="20"/>
                <w:szCs w:val="20"/>
              </w:rPr>
              <w:t>.</w:t>
            </w:r>
            <w:r w:rsidR="00EC02C8">
              <w:rPr>
                <w:sz w:val="20"/>
                <w:szCs w:val="20"/>
              </w:rPr>
              <w:t xml:space="preserve"> For DoD US Army Medical Command, developed advanced quantitative chemical and biological health assessment methods and </w:t>
            </w:r>
          </w:p>
          <w:p w14:paraId="6AF30B79" w14:textId="0CA7709B" w:rsidR="00A54DEC" w:rsidRDefault="00EC02C8" w:rsidP="00A54DEC">
            <w:pPr>
              <w:spacing w:after="0" w:line="240" w:lineRule="auto"/>
              <w:contextualSpacing/>
              <w:jc w:val="both"/>
              <w:rPr>
                <w:sz w:val="20"/>
                <w:szCs w:val="20"/>
              </w:rPr>
            </w:pPr>
            <w:r>
              <w:rPr>
                <w:sz w:val="20"/>
                <w:szCs w:val="20"/>
              </w:rPr>
              <w:t>translational science for military exposure guideline</w:t>
            </w:r>
            <w:r w:rsidR="00ED24C7">
              <w:rPr>
                <w:sz w:val="20"/>
                <w:szCs w:val="20"/>
              </w:rPr>
              <w:t xml:space="preserve">s </w:t>
            </w:r>
            <w:r w:rsidR="00745D71">
              <w:rPr>
                <w:sz w:val="20"/>
                <w:szCs w:val="20"/>
              </w:rPr>
              <w:t>of</w:t>
            </w:r>
            <w:r w:rsidR="00ED24C7">
              <w:rPr>
                <w:sz w:val="20"/>
                <w:szCs w:val="20"/>
              </w:rPr>
              <w:t xml:space="preserve"> emerging threats.</w:t>
            </w:r>
            <w:r>
              <w:rPr>
                <w:sz w:val="20"/>
                <w:szCs w:val="20"/>
              </w:rPr>
              <w:t xml:space="preserve"> </w:t>
            </w:r>
            <w:r w:rsidR="00ED24C7">
              <w:rPr>
                <w:sz w:val="20"/>
                <w:szCs w:val="20"/>
              </w:rPr>
              <w:t>Occupational and environmental exposure guidelines support risk assessments</w:t>
            </w:r>
            <w:r w:rsidR="009375DA">
              <w:rPr>
                <w:sz w:val="20"/>
                <w:szCs w:val="20"/>
              </w:rPr>
              <w:t xml:space="preserve"> and risk management principles</w:t>
            </w:r>
            <w:r w:rsidR="00ED24C7">
              <w:rPr>
                <w:sz w:val="20"/>
                <w:szCs w:val="20"/>
              </w:rPr>
              <w:t xml:space="preserve"> for military operations and missions. </w:t>
            </w:r>
            <w:r>
              <w:rPr>
                <w:sz w:val="20"/>
                <w:szCs w:val="20"/>
              </w:rPr>
              <w:t xml:space="preserve"> </w:t>
            </w:r>
          </w:p>
          <w:p w14:paraId="0071FAAF" w14:textId="77777777" w:rsidR="00672F7F" w:rsidRDefault="00672F7F" w:rsidP="00A54DEC">
            <w:pPr>
              <w:spacing w:after="0" w:line="240" w:lineRule="auto"/>
              <w:contextualSpacing/>
              <w:jc w:val="both"/>
              <w:rPr>
                <w:sz w:val="20"/>
                <w:szCs w:val="20"/>
              </w:rPr>
            </w:pPr>
          </w:p>
          <w:p w14:paraId="0B43692E" w14:textId="20EE36A0" w:rsidR="00024C76" w:rsidRPr="00A54DEC" w:rsidRDefault="00024C76" w:rsidP="00A54DEC">
            <w:pPr>
              <w:spacing w:after="0" w:line="240" w:lineRule="auto"/>
              <w:contextualSpacing/>
              <w:jc w:val="both"/>
              <w:rPr>
                <w:sz w:val="20"/>
                <w:szCs w:val="20"/>
              </w:rPr>
            </w:pPr>
            <w:r w:rsidRPr="002826AD">
              <w:rPr>
                <w:b/>
              </w:rPr>
              <w:t xml:space="preserve">Research Staff, </w:t>
            </w:r>
            <w:r w:rsidR="00192871">
              <w:rPr>
                <w:b/>
              </w:rPr>
              <w:t xml:space="preserve">Human </w:t>
            </w:r>
            <w:r w:rsidRPr="002826AD">
              <w:rPr>
                <w:b/>
              </w:rPr>
              <w:t>Health Risk and Environmental Analysis Group</w:t>
            </w:r>
            <w:r w:rsidR="008C122D">
              <w:rPr>
                <w:b/>
              </w:rPr>
              <w:t>, ESD</w:t>
            </w:r>
          </w:p>
          <w:p w14:paraId="0DD1F3AF" w14:textId="49D456E3" w:rsidR="00024C76" w:rsidRPr="00024C76" w:rsidRDefault="00024C76" w:rsidP="00C01CCB">
            <w:pPr>
              <w:spacing w:after="0" w:line="312" w:lineRule="auto"/>
              <w:contextualSpacing/>
              <w:rPr>
                <w:sz w:val="20"/>
                <w:szCs w:val="20"/>
              </w:rPr>
            </w:pPr>
            <w:r w:rsidRPr="00024C76">
              <w:rPr>
                <w:sz w:val="20"/>
                <w:szCs w:val="20"/>
              </w:rPr>
              <w:t>200</w:t>
            </w:r>
            <w:r w:rsidR="009D5BD8">
              <w:rPr>
                <w:sz w:val="20"/>
                <w:szCs w:val="20"/>
              </w:rPr>
              <w:t>9</w:t>
            </w:r>
            <w:r w:rsidRPr="00024C76">
              <w:rPr>
                <w:sz w:val="20"/>
                <w:szCs w:val="20"/>
              </w:rPr>
              <w:t xml:space="preserve"> – 201</w:t>
            </w:r>
            <w:r w:rsidR="007B66A2">
              <w:rPr>
                <w:sz w:val="20"/>
                <w:szCs w:val="20"/>
              </w:rPr>
              <w:t>7</w:t>
            </w:r>
          </w:p>
          <w:p w14:paraId="16BBE7BB" w14:textId="2E237DEC" w:rsidR="00024C76" w:rsidRDefault="00024C76" w:rsidP="00C01CCB">
            <w:pPr>
              <w:spacing w:after="0" w:line="240" w:lineRule="auto"/>
              <w:contextualSpacing/>
              <w:jc w:val="both"/>
              <w:rPr>
                <w:sz w:val="20"/>
                <w:szCs w:val="20"/>
              </w:rPr>
            </w:pPr>
            <w:r w:rsidRPr="00024C76">
              <w:rPr>
                <w:sz w:val="20"/>
                <w:szCs w:val="20"/>
              </w:rPr>
              <w:t xml:space="preserve">Activities included serving as principle investigator, technical lead, and point of contact with sponsoring agencies </w:t>
            </w:r>
            <w:r w:rsidR="009D5BD8">
              <w:rPr>
                <w:sz w:val="20"/>
                <w:szCs w:val="20"/>
              </w:rPr>
              <w:t xml:space="preserve">including DOD and EPA. </w:t>
            </w:r>
            <w:r w:rsidRPr="00024C76">
              <w:rPr>
                <w:sz w:val="20"/>
                <w:szCs w:val="20"/>
              </w:rPr>
              <w:t xml:space="preserve">Efforts centered largely on development of computational risk methods </w:t>
            </w:r>
            <w:r w:rsidR="007A4581">
              <w:rPr>
                <w:sz w:val="20"/>
                <w:szCs w:val="20"/>
              </w:rPr>
              <w:t xml:space="preserve">and models </w:t>
            </w:r>
            <w:r w:rsidRPr="00024C76">
              <w:rPr>
                <w:sz w:val="20"/>
                <w:szCs w:val="20"/>
              </w:rPr>
              <w:t xml:space="preserve">for </w:t>
            </w:r>
            <w:r w:rsidR="009D5BD8">
              <w:rPr>
                <w:sz w:val="20"/>
                <w:szCs w:val="20"/>
              </w:rPr>
              <w:t xml:space="preserve">occupational and </w:t>
            </w:r>
            <w:r w:rsidR="001545E3">
              <w:rPr>
                <w:sz w:val="20"/>
                <w:szCs w:val="20"/>
              </w:rPr>
              <w:t xml:space="preserve">environmental </w:t>
            </w:r>
            <w:r w:rsidRPr="00024C76">
              <w:rPr>
                <w:sz w:val="20"/>
                <w:szCs w:val="20"/>
              </w:rPr>
              <w:t>health assessments.</w:t>
            </w:r>
          </w:p>
          <w:p w14:paraId="3FC767B9" w14:textId="77777777" w:rsidR="001C084C" w:rsidRPr="00024C76" w:rsidRDefault="001C084C" w:rsidP="00C01CCB">
            <w:pPr>
              <w:spacing w:after="0" w:line="240" w:lineRule="auto"/>
              <w:contextualSpacing/>
              <w:jc w:val="both"/>
              <w:rPr>
                <w:sz w:val="20"/>
                <w:szCs w:val="20"/>
              </w:rPr>
            </w:pPr>
          </w:p>
          <w:p w14:paraId="41B5B0B3" w14:textId="25EF4EC6" w:rsidR="00024C76" w:rsidRDefault="00E90819" w:rsidP="00C01CCB">
            <w:pPr>
              <w:spacing w:after="0" w:line="240" w:lineRule="auto"/>
              <w:contextualSpacing/>
              <w:jc w:val="both"/>
              <w:rPr>
                <w:sz w:val="20"/>
                <w:szCs w:val="20"/>
              </w:rPr>
            </w:pPr>
            <w:r>
              <w:rPr>
                <w:sz w:val="20"/>
                <w:szCs w:val="20"/>
              </w:rPr>
              <w:t>PI</w:t>
            </w:r>
            <w:r w:rsidR="00024C76" w:rsidRPr="00024C76">
              <w:rPr>
                <w:sz w:val="20"/>
                <w:szCs w:val="20"/>
              </w:rPr>
              <w:t xml:space="preserve"> for DoD, Army Public Health </w:t>
            </w:r>
            <w:r w:rsidR="00B64837">
              <w:rPr>
                <w:sz w:val="20"/>
                <w:szCs w:val="20"/>
              </w:rPr>
              <w:t>Center</w:t>
            </w:r>
            <w:r w:rsidR="00024C76" w:rsidRPr="00024C76">
              <w:rPr>
                <w:sz w:val="20"/>
                <w:szCs w:val="20"/>
              </w:rPr>
              <w:t xml:space="preserve">, Military Exposure Guidelines </w:t>
            </w:r>
            <w:r w:rsidR="009D5BD8">
              <w:rPr>
                <w:sz w:val="20"/>
                <w:szCs w:val="20"/>
              </w:rPr>
              <w:t xml:space="preserve">for </w:t>
            </w:r>
            <w:r w:rsidR="00E02E19">
              <w:rPr>
                <w:sz w:val="20"/>
                <w:szCs w:val="20"/>
              </w:rPr>
              <w:t>C</w:t>
            </w:r>
            <w:r w:rsidR="009D5BD8">
              <w:rPr>
                <w:sz w:val="20"/>
                <w:szCs w:val="20"/>
              </w:rPr>
              <w:t xml:space="preserve">hemicals </w:t>
            </w:r>
            <w:r w:rsidR="00024C76" w:rsidRPr="00024C76">
              <w:rPr>
                <w:sz w:val="20"/>
                <w:szCs w:val="20"/>
              </w:rPr>
              <w:t>(</w:t>
            </w:r>
            <w:r w:rsidR="009D5BD8">
              <w:rPr>
                <w:sz w:val="20"/>
                <w:szCs w:val="20"/>
              </w:rPr>
              <w:t>C</w:t>
            </w:r>
            <w:r w:rsidR="00024C76" w:rsidRPr="00024C76">
              <w:rPr>
                <w:sz w:val="20"/>
                <w:szCs w:val="20"/>
              </w:rPr>
              <w:t xml:space="preserve">MEG) </w:t>
            </w:r>
            <w:r w:rsidR="009D5BD8">
              <w:rPr>
                <w:sz w:val="20"/>
                <w:szCs w:val="20"/>
              </w:rPr>
              <w:t xml:space="preserve">and Biologicals (BMEG) </w:t>
            </w:r>
            <w:r w:rsidR="00024C76" w:rsidRPr="00024C76">
              <w:rPr>
                <w:sz w:val="20"/>
                <w:szCs w:val="20"/>
              </w:rPr>
              <w:t>project</w:t>
            </w:r>
            <w:r w:rsidR="009D5BD8">
              <w:rPr>
                <w:sz w:val="20"/>
                <w:szCs w:val="20"/>
              </w:rPr>
              <w:t xml:space="preserve">s </w:t>
            </w:r>
            <w:r w:rsidR="00024C76" w:rsidRPr="00024C76">
              <w:rPr>
                <w:sz w:val="20"/>
                <w:szCs w:val="20"/>
              </w:rPr>
              <w:t>providing analyses and development of exposure guidelines</w:t>
            </w:r>
            <w:r w:rsidR="00CB2C40">
              <w:rPr>
                <w:sz w:val="20"/>
                <w:szCs w:val="20"/>
              </w:rPr>
              <w:t xml:space="preserve"> for military personnel</w:t>
            </w:r>
            <w:r w:rsidR="00024C76" w:rsidRPr="00024C76">
              <w:rPr>
                <w:sz w:val="20"/>
                <w:szCs w:val="20"/>
              </w:rPr>
              <w:t xml:space="preserve">. Our team developed exposure assessments, advanced </w:t>
            </w:r>
            <w:r w:rsidR="00E71A06">
              <w:rPr>
                <w:sz w:val="20"/>
                <w:szCs w:val="20"/>
              </w:rPr>
              <w:t xml:space="preserve">data analytics, </w:t>
            </w:r>
            <w:r w:rsidR="00024C76" w:rsidRPr="00024C76">
              <w:rPr>
                <w:sz w:val="20"/>
                <w:szCs w:val="20"/>
              </w:rPr>
              <w:t>model</w:t>
            </w:r>
            <w:r w:rsidR="00E71A06">
              <w:rPr>
                <w:sz w:val="20"/>
                <w:szCs w:val="20"/>
              </w:rPr>
              <w:t xml:space="preserve">s, and simulations </w:t>
            </w:r>
            <w:r w:rsidR="001312B1">
              <w:rPr>
                <w:sz w:val="20"/>
                <w:szCs w:val="20"/>
              </w:rPr>
              <w:t>for</w:t>
            </w:r>
            <w:r w:rsidR="00024C76" w:rsidRPr="00024C76">
              <w:rPr>
                <w:sz w:val="20"/>
                <w:szCs w:val="20"/>
              </w:rPr>
              <w:t xml:space="preserve"> dose response data for military relevan</w:t>
            </w:r>
            <w:r w:rsidR="001312B1">
              <w:rPr>
                <w:sz w:val="20"/>
                <w:szCs w:val="20"/>
              </w:rPr>
              <w:t xml:space="preserve">t toxicants, </w:t>
            </w:r>
            <w:r w:rsidR="00024C76" w:rsidRPr="00024C76">
              <w:rPr>
                <w:sz w:val="20"/>
                <w:szCs w:val="20"/>
              </w:rPr>
              <w:t>and health-risk based</w:t>
            </w:r>
            <w:r w:rsidR="00E71A06">
              <w:rPr>
                <w:sz w:val="20"/>
                <w:szCs w:val="20"/>
              </w:rPr>
              <w:t xml:space="preserve"> </w:t>
            </w:r>
            <w:r w:rsidR="00A477D6">
              <w:rPr>
                <w:sz w:val="20"/>
                <w:szCs w:val="20"/>
              </w:rPr>
              <w:t xml:space="preserve">models </w:t>
            </w:r>
            <w:r w:rsidR="00EC0865">
              <w:rPr>
                <w:sz w:val="20"/>
                <w:szCs w:val="20"/>
              </w:rPr>
              <w:t>for situation awareness and response</w:t>
            </w:r>
            <w:r w:rsidR="00024C76" w:rsidRPr="00024C76">
              <w:rPr>
                <w:sz w:val="20"/>
                <w:szCs w:val="20"/>
              </w:rPr>
              <w:t xml:space="preserve">. </w:t>
            </w:r>
          </w:p>
          <w:p w14:paraId="1F255E79" w14:textId="77777777" w:rsidR="001C084C" w:rsidRPr="00024C76" w:rsidRDefault="001C084C" w:rsidP="00C01CCB">
            <w:pPr>
              <w:spacing w:after="0" w:line="240" w:lineRule="auto"/>
              <w:contextualSpacing/>
              <w:jc w:val="both"/>
              <w:rPr>
                <w:sz w:val="20"/>
                <w:szCs w:val="20"/>
              </w:rPr>
            </w:pPr>
          </w:p>
          <w:p w14:paraId="72488C9B" w14:textId="638D5968" w:rsidR="00024C76" w:rsidRDefault="00024C76" w:rsidP="00C01CCB">
            <w:pPr>
              <w:spacing w:after="0" w:line="240" w:lineRule="auto"/>
              <w:contextualSpacing/>
              <w:jc w:val="both"/>
              <w:rPr>
                <w:sz w:val="20"/>
                <w:szCs w:val="20"/>
              </w:rPr>
            </w:pPr>
            <w:r w:rsidRPr="00024C76">
              <w:rPr>
                <w:sz w:val="20"/>
                <w:szCs w:val="20"/>
              </w:rPr>
              <w:t>Co-</w:t>
            </w:r>
            <w:r w:rsidR="00E90819">
              <w:rPr>
                <w:sz w:val="20"/>
                <w:szCs w:val="20"/>
              </w:rPr>
              <w:t>PI</w:t>
            </w:r>
            <w:r w:rsidRPr="00024C76">
              <w:rPr>
                <w:sz w:val="20"/>
                <w:szCs w:val="20"/>
              </w:rPr>
              <w:t xml:space="preserve"> for DoD, in the analysis and development of consequence management (CM) tools for response to chemical/biological </w:t>
            </w:r>
            <w:r w:rsidR="008C0086">
              <w:rPr>
                <w:sz w:val="20"/>
                <w:szCs w:val="20"/>
              </w:rPr>
              <w:t>incidents</w:t>
            </w:r>
            <w:r w:rsidRPr="00024C76">
              <w:rPr>
                <w:sz w:val="20"/>
                <w:szCs w:val="20"/>
              </w:rPr>
              <w:t>. This effort provided an enhanced approach to CM including incorporation of the best tools, databases, and methods for efficient resolution of incidents in support of civilian authorities including environmental sampling strategies, fate and transport modeling, clearance levels, and decontamination technologies</w:t>
            </w:r>
            <w:r w:rsidR="001C084C">
              <w:rPr>
                <w:sz w:val="20"/>
                <w:szCs w:val="20"/>
              </w:rPr>
              <w:t>.</w:t>
            </w:r>
          </w:p>
          <w:p w14:paraId="00BA35B8" w14:textId="77777777" w:rsidR="001C084C" w:rsidRPr="00024C76" w:rsidRDefault="001C084C" w:rsidP="00C01CCB">
            <w:pPr>
              <w:spacing w:after="0" w:line="240" w:lineRule="auto"/>
              <w:contextualSpacing/>
              <w:jc w:val="both"/>
              <w:rPr>
                <w:sz w:val="20"/>
                <w:szCs w:val="20"/>
              </w:rPr>
            </w:pPr>
          </w:p>
          <w:p w14:paraId="08569345" w14:textId="77777777" w:rsidR="001C084C" w:rsidRDefault="00024C76" w:rsidP="00C01CCB">
            <w:pPr>
              <w:spacing w:after="0" w:line="240" w:lineRule="auto"/>
              <w:contextualSpacing/>
              <w:jc w:val="both"/>
              <w:rPr>
                <w:sz w:val="20"/>
                <w:szCs w:val="20"/>
              </w:rPr>
            </w:pPr>
            <w:r w:rsidRPr="00024C76">
              <w:rPr>
                <w:sz w:val="20"/>
                <w:szCs w:val="20"/>
              </w:rPr>
              <w:t>Technical lead for research and development of cyanotoxin drinking water guidelines for the EPA, Office of Water. Assessed cyanotoxin occurrence in surface waters and their association with Harmful Algal Blooms, developed exposure assessment models for risk assessments, and completed exposure and risk assessments to support health advisories and drinking water guidelines.</w:t>
            </w:r>
          </w:p>
          <w:p w14:paraId="6446FE62" w14:textId="662125A8" w:rsidR="00024C76" w:rsidRPr="00024C76" w:rsidRDefault="00024C76" w:rsidP="00C01CCB">
            <w:pPr>
              <w:spacing w:after="0" w:line="240" w:lineRule="auto"/>
              <w:contextualSpacing/>
              <w:jc w:val="both"/>
              <w:rPr>
                <w:sz w:val="20"/>
                <w:szCs w:val="20"/>
              </w:rPr>
            </w:pPr>
          </w:p>
          <w:p w14:paraId="010B1149" w14:textId="20AE8369" w:rsidR="001C084C" w:rsidRDefault="00024C76" w:rsidP="00C01CCB">
            <w:pPr>
              <w:spacing w:after="0" w:line="240" w:lineRule="auto"/>
              <w:contextualSpacing/>
              <w:jc w:val="both"/>
              <w:rPr>
                <w:sz w:val="20"/>
                <w:szCs w:val="20"/>
              </w:rPr>
            </w:pPr>
            <w:r w:rsidRPr="00024C76">
              <w:rPr>
                <w:sz w:val="20"/>
                <w:szCs w:val="20"/>
              </w:rPr>
              <w:t>Technical lead for research and development of health risk screening criteria for radionuclides in fracking waters for the EPA, Office of Water. Developed radionuclide health risk screening tools for evaluation of exposures to radionuclides in fracking water and evaluations of treatment, disposal, or reuse of fracking waters.</w:t>
            </w:r>
          </w:p>
          <w:p w14:paraId="1299DAFC" w14:textId="61F423C4" w:rsidR="00024C76" w:rsidRPr="00024C76" w:rsidRDefault="00024C76" w:rsidP="00C01CCB">
            <w:pPr>
              <w:spacing w:after="0" w:line="240" w:lineRule="auto"/>
              <w:contextualSpacing/>
              <w:jc w:val="both"/>
              <w:rPr>
                <w:sz w:val="20"/>
                <w:szCs w:val="20"/>
              </w:rPr>
            </w:pPr>
          </w:p>
          <w:p w14:paraId="23550000" w14:textId="4C9E0DB1" w:rsidR="001C084C" w:rsidRDefault="00665960" w:rsidP="00C01CCB">
            <w:pPr>
              <w:spacing w:after="0" w:line="240" w:lineRule="auto"/>
              <w:contextualSpacing/>
              <w:jc w:val="both"/>
              <w:rPr>
                <w:sz w:val="20"/>
                <w:szCs w:val="20"/>
              </w:rPr>
            </w:pPr>
            <w:r>
              <w:rPr>
                <w:sz w:val="20"/>
                <w:szCs w:val="20"/>
              </w:rPr>
              <w:t>Technical lead</w:t>
            </w:r>
            <w:r w:rsidR="00024C76" w:rsidRPr="00024C76">
              <w:rPr>
                <w:sz w:val="20"/>
                <w:szCs w:val="20"/>
              </w:rPr>
              <w:t xml:space="preserve"> to the EPA, Office of Water in the assessment of pharmaceuticals and personal care products (PPCPs) as </w:t>
            </w:r>
            <w:r w:rsidR="001312B1">
              <w:rPr>
                <w:sz w:val="20"/>
                <w:szCs w:val="20"/>
              </w:rPr>
              <w:t>chemicals</w:t>
            </w:r>
            <w:r w:rsidR="00024C76" w:rsidRPr="00024C76">
              <w:rPr>
                <w:sz w:val="20"/>
                <w:szCs w:val="20"/>
              </w:rPr>
              <w:t xml:space="preserve"> of emerging concern. This effort developed analytical databases with a key focus on PPCPs in surface waters and drinking water sources. Analyses provided a baseline for the presence of PPCPs in US </w:t>
            </w:r>
            <w:r w:rsidR="001C084C">
              <w:rPr>
                <w:sz w:val="20"/>
                <w:szCs w:val="20"/>
              </w:rPr>
              <w:t xml:space="preserve">surface </w:t>
            </w:r>
            <w:r w:rsidR="00024C76" w:rsidRPr="00024C76">
              <w:rPr>
                <w:sz w:val="20"/>
                <w:szCs w:val="20"/>
              </w:rPr>
              <w:t>waters and for effectiveness of</w:t>
            </w:r>
            <w:r w:rsidR="001C084C">
              <w:rPr>
                <w:sz w:val="20"/>
                <w:szCs w:val="20"/>
              </w:rPr>
              <w:t xml:space="preserve"> </w:t>
            </w:r>
            <w:r w:rsidR="00024C76" w:rsidRPr="00024C76">
              <w:rPr>
                <w:sz w:val="20"/>
                <w:szCs w:val="20"/>
              </w:rPr>
              <w:t>municipal treatment techniques in removal of PPCPs from drinking water.</w:t>
            </w:r>
          </w:p>
          <w:p w14:paraId="33729FCF" w14:textId="6E0D0120" w:rsidR="00024C76" w:rsidRPr="00024C76" w:rsidRDefault="00024C76" w:rsidP="00C01CCB">
            <w:pPr>
              <w:spacing w:after="0" w:line="240" w:lineRule="auto"/>
              <w:contextualSpacing/>
              <w:jc w:val="both"/>
              <w:rPr>
                <w:sz w:val="20"/>
                <w:szCs w:val="20"/>
              </w:rPr>
            </w:pPr>
          </w:p>
          <w:p w14:paraId="1A487184" w14:textId="724F012D" w:rsidR="00672F7F" w:rsidRDefault="00024C76" w:rsidP="00F67D6C">
            <w:pPr>
              <w:spacing w:after="0" w:line="240" w:lineRule="auto"/>
              <w:contextualSpacing/>
              <w:jc w:val="both"/>
              <w:rPr>
                <w:sz w:val="20"/>
                <w:szCs w:val="20"/>
              </w:rPr>
            </w:pPr>
            <w:r w:rsidRPr="00024C76">
              <w:rPr>
                <w:sz w:val="20"/>
                <w:szCs w:val="20"/>
              </w:rPr>
              <w:t>Environmental microbiologist responsible for evaluating biopesticide products for the EPA, Office of Pesticide Programs</w:t>
            </w:r>
            <w:r w:rsidR="00513EE9">
              <w:rPr>
                <w:sz w:val="20"/>
                <w:szCs w:val="20"/>
              </w:rPr>
              <w:t>.</w:t>
            </w:r>
            <w:r w:rsidR="00E90819">
              <w:rPr>
                <w:sz w:val="20"/>
                <w:szCs w:val="20"/>
              </w:rPr>
              <w:t xml:space="preserve"> </w:t>
            </w:r>
            <w:r w:rsidRPr="00024C76">
              <w:rPr>
                <w:sz w:val="20"/>
                <w:szCs w:val="20"/>
              </w:rPr>
              <w:t>Tasks included evaluations of biopesticides product chemistry, efficacy, toxicity, non-target organism impacts as well as environmental fate and persistence. Biopesticides also include plant incorporated protection products which are genetically engineered corn, cotton, and soybeans</w:t>
            </w:r>
            <w:r w:rsidR="00011687">
              <w:rPr>
                <w:sz w:val="20"/>
                <w:szCs w:val="20"/>
              </w:rPr>
              <w:t xml:space="preserve"> with</w:t>
            </w:r>
            <w:r w:rsidR="00E90819">
              <w:rPr>
                <w:sz w:val="20"/>
                <w:szCs w:val="20"/>
              </w:rPr>
              <w:t xml:space="preserve"> express</w:t>
            </w:r>
            <w:r w:rsidR="00011687">
              <w:rPr>
                <w:sz w:val="20"/>
                <w:szCs w:val="20"/>
              </w:rPr>
              <w:t xml:space="preserve"> </w:t>
            </w:r>
            <w:r w:rsidRPr="00024C76">
              <w:rPr>
                <w:sz w:val="20"/>
                <w:szCs w:val="20"/>
              </w:rPr>
              <w:t>insect resistance traits.</w:t>
            </w:r>
            <w:r w:rsidR="00011687">
              <w:rPr>
                <w:sz w:val="20"/>
                <w:szCs w:val="20"/>
              </w:rPr>
              <w:t xml:space="preserve"> </w:t>
            </w:r>
            <w:r w:rsidRPr="00024C76">
              <w:rPr>
                <w:sz w:val="20"/>
                <w:szCs w:val="20"/>
              </w:rPr>
              <w:t xml:space="preserve">Responsible for evaluations of </w:t>
            </w:r>
            <w:r w:rsidR="00011687">
              <w:rPr>
                <w:sz w:val="20"/>
                <w:szCs w:val="20"/>
              </w:rPr>
              <w:t>t</w:t>
            </w:r>
            <w:r w:rsidR="00011687" w:rsidRPr="00011687">
              <w:rPr>
                <w:sz w:val="20"/>
                <w:szCs w:val="20"/>
              </w:rPr>
              <w:t xml:space="preserve">ransgenic cotton, corn and soybean </w:t>
            </w:r>
            <w:r w:rsidRPr="00024C76">
              <w:rPr>
                <w:sz w:val="20"/>
                <w:szCs w:val="20"/>
              </w:rPr>
              <w:t>including; genetic transformations, molecular characterization, efficacy, human health and ecological impacts of transgenic plants, product durability, non-target testing, and insect resistance management plans.</w:t>
            </w:r>
          </w:p>
          <w:p w14:paraId="3995C64D" w14:textId="77777777" w:rsidR="00672F7F" w:rsidRDefault="00672F7F" w:rsidP="00C01CCB">
            <w:pPr>
              <w:spacing w:after="0" w:line="240" w:lineRule="auto"/>
              <w:contextualSpacing/>
              <w:rPr>
                <w:sz w:val="20"/>
                <w:szCs w:val="20"/>
              </w:rPr>
            </w:pPr>
          </w:p>
          <w:p w14:paraId="13933B47" w14:textId="4390D1DD" w:rsidR="00BE41B6" w:rsidRPr="004946DB" w:rsidRDefault="00BE41B6" w:rsidP="00C01CCB">
            <w:pPr>
              <w:spacing w:after="0" w:line="240" w:lineRule="auto"/>
              <w:contextualSpacing/>
              <w:rPr>
                <w:b/>
              </w:rPr>
            </w:pPr>
            <w:r w:rsidRPr="004946DB">
              <w:rPr>
                <w:b/>
              </w:rPr>
              <w:t>Research Staff,</w:t>
            </w:r>
            <w:r w:rsidR="00BF11F9">
              <w:rPr>
                <w:b/>
              </w:rPr>
              <w:t xml:space="preserve"> Toxicology and </w:t>
            </w:r>
            <w:r w:rsidRPr="004946DB">
              <w:rPr>
                <w:b/>
              </w:rPr>
              <w:t>Risk Analysis Group</w:t>
            </w:r>
            <w:r w:rsidR="008C122D">
              <w:rPr>
                <w:b/>
              </w:rPr>
              <w:t>, LSD</w:t>
            </w:r>
          </w:p>
          <w:p w14:paraId="1255D9FA" w14:textId="4E76FCF2" w:rsidR="00BE41B6" w:rsidRPr="004946DB" w:rsidRDefault="00BE41B6" w:rsidP="00C01CCB">
            <w:pPr>
              <w:spacing w:after="0" w:line="312" w:lineRule="auto"/>
              <w:contextualSpacing/>
              <w:rPr>
                <w:sz w:val="20"/>
                <w:szCs w:val="20"/>
              </w:rPr>
            </w:pPr>
            <w:r w:rsidRPr="004946DB">
              <w:rPr>
                <w:sz w:val="20"/>
                <w:szCs w:val="20"/>
              </w:rPr>
              <w:t>200</w:t>
            </w:r>
            <w:r w:rsidR="003546B3">
              <w:rPr>
                <w:sz w:val="20"/>
                <w:szCs w:val="20"/>
              </w:rPr>
              <w:t>0</w:t>
            </w:r>
            <w:r w:rsidRPr="004946DB">
              <w:rPr>
                <w:sz w:val="20"/>
                <w:szCs w:val="20"/>
              </w:rPr>
              <w:t xml:space="preserve"> – 20</w:t>
            </w:r>
            <w:r w:rsidR="001528BE" w:rsidRPr="004946DB">
              <w:rPr>
                <w:sz w:val="20"/>
                <w:szCs w:val="20"/>
              </w:rPr>
              <w:t>0</w:t>
            </w:r>
            <w:r w:rsidR="009D5BD8">
              <w:rPr>
                <w:sz w:val="20"/>
                <w:szCs w:val="20"/>
              </w:rPr>
              <w:t>9</w:t>
            </w:r>
            <w:r w:rsidR="007B66A2">
              <w:rPr>
                <w:sz w:val="20"/>
                <w:szCs w:val="20"/>
              </w:rPr>
              <w:t xml:space="preserve"> (Lead </w:t>
            </w:r>
            <w:r w:rsidR="00AC67DF">
              <w:rPr>
                <w:sz w:val="20"/>
                <w:szCs w:val="20"/>
              </w:rPr>
              <w:t>for</w:t>
            </w:r>
            <w:r w:rsidR="007B66A2">
              <w:rPr>
                <w:sz w:val="20"/>
                <w:szCs w:val="20"/>
              </w:rPr>
              <w:t xml:space="preserve"> Risk and Regulatory Analysis Team, 200</w:t>
            </w:r>
            <w:r w:rsidR="00AC67DF">
              <w:rPr>
                <w:sz w:val="20"/>
                <w:szCs w:val="20"/>
              </w:rPr>
              <w:t>2</w:t>
            </w:r>
            <w:r w:rsidR="007B66A2">
              <w:rPr>
                <w:sz w:val="20"/>
                <w:szCs w:val="20"/>
              </w:rPr>
              <w:t>-200</w:t>
            </w:r>
            <w:r w:rsidR="00AC67DF">
              <w:rPr>
                <w:sz w:val="20"/>
                <w:szCs w:val="20"/>
              </w:rPr>
              <w:t>7)</w:t>
            </w:r>
          </w:p>
          <w:p w14:paraId="36232C40" w14:textId="5F3C421A" w:rsidR="00192871" w:rsidRDefault="00192871" w:rsidP="00C01CCB">
            <w:pPr>
              <w:spacing w:after="0" w:line="240" w:lineRule="auto"/>
              <w:contextualSpacing/>
              <w:jc w:val="both"/>
              <w:rPr>
                <w:sz w:val="20"/>
                <w:szCs w:val="20"/>
              </w:rPr>
            </w:pPr>
            <w:r>
              <w:rPr>
                <w:sz w:val="20"/>
                <w:szCs w:val="20"/>
              </w:rPr>
              <w:t>PI</w:t>
            </w:r>
            <w:r w:rsidRPr="00192871">
              <w:rPr>
                <w:sz w:val="20"/>
                <w:szCs w:val="20"/>
              </w:rPr>
              <w:t xml:space="preserve"> for Evaluation of Toxicology, Chemistry and Environmental Fate Data on Pesticides, EPA Office of Pesticide Programs</w:t>
            </w:r>
            <w:r w:rsidR="00E02E19">
              <w:rPr>
                <w:sz w:val="20"/>
                <w:szCs w:val="20"/>
              </w:rPr>
              <w:t xml:space="preserve">. </w:t>
            </w:r>
            <w:r w:rsidRPr="00192871">
              <w:rPr>
                <w:sz w:val="20"/>
                <w:szCs w:val="20"/>
              </w:rPr>
              <w:t xml:space="preserve">Responsible for development of risk assessment methods and performing chemical pesticide fate and transport analyses and toxicology evaluations for ecological endpoints. </w:t>
            </w:r>
          </w:p>
          <w:p w14:paraId="6DD09B57" w14:textId="76E449F8" w:rsidR="00192871" w:rsidRDefault="00192871" w:rsidP="00C01CCB">
            <w:pPr>
              <w:spacing w:after="0" w:line="240" w:lineRule="auto"/>
              <w:contextualSpacing/>
              <w:jc w:val="both"/>
              <w:rPr>
                <w:sz w:val="20"/>
                <w:szCs w:val="20"/>
              </w:rPr>
            </w:pPr>
          </w:p>
          <w:p w14:paraId="2EF6A88E" w14:textId="5B376CEA" w:rsidR="00192871" w:rsidRPr="00192871" w:rsidRDefault="00192871" w:rsidP="00C01CCB">
            <w:pPr>
              <w:spacing w:after="0" w:line="240" w:lineRule="auto"/>
              <w:contextualSpacing/>
              <w:jc w:val="both"/>
              <w:rPr>
                <w:sz w:val="20"/>
                <w:szCs w:val="20"/>
              </w:rPr>
            </w:pPr>
            <w:r w:rsidRPr="00192871">
              <w:rPr>
                <w:sz w:val="20"/>
                <w:szCs w:val="20"/>
              </w:rPr>
              <w:lastRenderedPageBreak/>
              <w:t>Co-</w:t>
            </w:r>
            <w:r w:rsidR="00FD01F3">
              <w:rPr>
                <w:sz w:val="20"/>
                <w:szCs w:val="20"/>
              </w:rPr>
              <w:t>PI</w:t>
            </w:r>
            <w:r w:rsidRPr="00192871">
              <w:rPr>
                <w:sz w:val="20"/>
                <w:szCs w:val="20"/>
              </w:rPr>
              <w:t xml:space="preserve"> in</w:t>
            </w:r>
            <w:r w:rsidR="00FD01F3">
              <w:rPr>
                <w:sz w:val="20"/>
                <w:szCs w:val="20"/>
              </w:rPr>
              <w:t xml:space="preserve"> </w:t>
            </w:r>
            <w:r w:rsidRPr="00192871">
              <w:rPr>
                <w:sz w:val="20"/>
                <w:szCs w:val="20"/>
              </w:rPr>
              <w:t>collaborati</w:t>
            </w:r>
            <w:r w:rsidR="00FD01F3">
              <w:rPr>
                <w:sz w:val="20"/>
                <w:szCs w:val="20"/>
              </w:rPr>
              <w:t>on</w:t>
            </w:r>
            <w:r w:rsidRPr="00192871">
              <w:rPr>
                <w:sz w:val="20"/>
                <w:szCs w:val="20"/>
              </w:rPr>
              <w:t xml:space="preserve"> with the University of Tennessee Food Safety Center of Excellence (UTFSCOE) on a USDA CSREES grant to investigate survivability and transmission of foodborne pathogens in the farm environment for development of pathogen risk assessments. Research provided quantitative microbial risk analysis methodologies to assess adverse impact of pathogens in foods and to enhance safety practices on the farm thus reducing the potential for food borne illness. </w:t>
            </w:r>
          </w:p>
          <w:p w14:paraId="5B284F98" w14:textId="77777777" w:rsidR="00192871" w:rsidRPr="00192871" w:rsidRDefault="00192871" w:rsidP="00C01CCB">
            <w:pPr>
              <w:spacing w:after="0" w:line="240" w:lineRule="auto"/>
              <w:contextualSpacing/>
              <w:jc w:val="both"/>
              <w:rPr>
                <w:sz w:val="20"/>
                <w:szCs w:val="20"/>
              </w:rPr>
            </w:pPr>
          </w:p>
          <w:p w14:paraId="03966D83" w14:textId="785A251F" w:rsidR="00BE41B6" w:rsidRDefault="00192871" w:rsidP="00C01CCB">
            <w:pPr>
              <w:spacing w:after="0" w:line="240" w:lineRule="auto"/>
              <w:contextualSpacing/>
              <w:jc w:val="both"/>
              <w:rPr>
                <w:sz w:val="20"/>
                <w:szCs w:val="20"/>
              </w:rPr>
            </w:pPr>
            <w:r w:rsidRPr="00192871">
              <w:rPr>
                <w:sz w:val="20"/>
                <w:szCs w:val="20"/>
              </w:rPr>
              <w:t xml:space="preserve">Microbiologist evaluating antimicrobial efficacy data for the Antimicrobials Division of EPA’s Office of Pesticide Programs. Evaluated the antimicrobial effectiveness of numerous chemicals to pathogenic microorganisms (including fungi, bacteria, and viruses), which humans may contact in air, water, or on inanimate surfaces. </w:t>
            </w:r>
          </w:p>
          <w:p w14:paraId="75CCEAAA" w14:textId="77777777" w:rsidR="005B68A0" w:rsidRDefault="005B68A0" w:rsidP="00C01CCB">
            <w:pPr>
              <w:spacing w:after="0" w:line="240" w:lineRule="auto"/>
              <w:contextualSpacing/>
              <w:rPr>
                <w:sz w:val="20"/>
                <w:szCs w:val="20"/>
              </w:rPr>
            </w:pPr>
          </w:p>
          <w:p w14:paraId="01A69C72" w14:textId="5B3D0F5A" w:rsidR="005B68A0" w:rsidRPr="004946DB" w:rsidRDefault="005B68A0" w:rsidP="00C01CCB">
            <w:pPr>
              <w:spacing w:after="0" w:line="240" w:lineRule="auto"/>
              <w:contextualSpacing/>
              <w:rPr>
                <w:b/>
              </w:rPr>
            </w:pPr>
            <w:r w:rsidRPr="004946DB">
              <w:rPr>
                <w:b/>
              </w:rPr>
              <w:t>Research Staff, Toxicology and Risk Analysis Section</w:t>
            </w:r>
            <w:r w:rsidR="008C122D">
              <w:rPr>
                <w:b/>
              </w:rPr>
              <w:t>, LSD</w:t>
            </w:r>
          </w:p>
          <w:p w14:paraId="4C137B49" w14:textId="7821D458" w:rsidR="00BB7D80" w:rsidRDefault="005B68A0" w:rsidP="00C01CCB">
            <w:pPr>
              <w:spacing w:after="0" w:line="312" w:lineRule="auto"/>
              <w:contextualSpacing/>
              <w:rPr>
                <w:sz w:val="20"/>
                <w:szCs w:val="20"/>
              </w:rPr>
            </w:pPr>
            <w:r>
              <w:rPr>
                <w:sz w:val="20"/>
                <w:szCs w:val="20"/>
              </w:rPr>
              <w:t>1996</w:t>
            </w:r>
            <w:r w:rsidRPr="005B68A0">
              <w:rPr>
                <w:sz w:val="20"/>
                <w:szCs w:val="20"/>
              </w:rPr>
              <w:t xml:space="preserve"> – 200</w:t>
            </w:r>
            <w:r w:rsidR="003546B3">
              <w:rPr>
                <w:sz w:val="20"/>
                <w:szCs w:val="20"/>
              </w:rPr>
              <w:t>0</w:t>
            </w:r>
          </w:p>
          <w:p w14:paraId="32512A7B" w14:textId="79C6940C" w:rsidR="00D150C6" w:rsidRDefault="00D150C6" w:rsidP="00C01CCB">
            <w:pPr>
              <w:spacing w:after="0" w:line="240" w:lineRule="auto"/>
              <w:contextualSpacing/>
              <w:jc w:val="both"/>
              <w:rPr>
                <w:sz w:val="20"/>
                <w:szCs w:val="20"/>
              </w:rPr>
            </w:pPr>
            <w:r w:rsidRPr="00D150C6">
              <w:rPr>
                <w:sz w:val="20"/>
                <w:szCs w:val="20"/>
              </w:rPr>
              <w:t xml:space="preserve">Performed human health, ecological, and radiological risk assessments for the DOE, DoD and other federal agencies; developed risk-based decision analytic methods and software to aid in optimization of site characterization activities and remedial decisions; conducted cost/risk benefit analysis of treatment technologies and developed risk management approaches which address exposure risks and safety risks associated with military unique compounds and unexploded ordnances. </w:t>
            </w:r>
          </w:p>
          <w:p w14:paraId="522A846C" w14:textId="77777777" w:rsidR="00D150C6" w:rsidRPr="00D150C6" w:rsidRDefault="00D150C6" w:rsidP="00C01CCB">
            <w:pPr>
              <w:spacing w:after="0" w:line="240" w:lineRule="auto"/>
              <w:contextualSpacing/>
              <w:jc w:val="both"/>
              <w:rPr>
                <w:b/>
                <w:bCs/>
                <w:sz w:val="20"/>
                <w:szCs w:val="20"/>
              </w:rPr>
            </w:pPr>
          </w:p>
          <w:p w14:paraId="6ED7753E" w14:textId="26ECC1FE" w:rsidR="00D150C6" w:rsidRDefault="00D150C6" w:rsidP="00C01CCB">
            <w:pPr>
              <w:spacing w:after="0" w:line="240" w:lineRule="auto"/>
              <w:contextualSpacing/>
              <w:jc w:val="both"/>
              <w:rPr>
                <w:sz w:val="20"/>
                <w:szCs w:val="20"/>
              </w:rPr>
            </w:pPr>
            <w:r w:rsidRPr="00D150C6">
              <w:rPr>
                <w:sz w:val="20"/>
                <w:szCs w:val="20"/>
              </w:rPr>
              <w:t>Co-</w:t>
            </w:r>
            <w:r>
              <w:rPr>
                <w:sz w:val="20"/>
                <w:szCs w:val="20"/>
              </w:rPr>
              <w:t xml:space="preserve">PI </w:t>
            </w:r>
            <w:r w:rsidRPr="00D150C6">
              <w:rPr>
                <w:sz w:val="20"/>
                <w:szCs w:val="20"/>
              </w:rPr>
              <w:t>for the Decision Support Software Evaluation project sponsored by EPA’s Environmental Technology Verification Program, Technology Innovation Office.</w:t>
            </w:r>
            <w:r w:rsidR="00BB7D80">
              <w:rPr>
                <w:sz w:val="20"/>
                <w:szCs w:val="20"/>
              </w:rPr>
              <w:t xml:space="preserve"> D</w:t>
            </w:r>
            <w:r w:rsidR="00BB7D80" w:rsidRPr="00BB7D80">
              <w:rPr>
                <w:sz w:val="20"/>
                <w:szCs w:val="20"/>
              </w:rPr>
              <w:t>esigned, developed and implemented a technology evaluation program for testing the capabilities of environmental decision analysis software</w:t>
            </w:r>
            <w:r w:rsidR="00A51714">
              <w:rPr>
                <w:sz w:val="20"/>
                <w:szCs w:val="20"/>
              </w:rPr>
              <w:t xml:space="preserve"> to perform </w:t>
            </w:r>
            <w:r w:rsidRPr="00D150C6">
              <w:rPr>
                <w:sz w:val="20"/>
                <w:szCs w:val="20"/>
              </w:rPr>
              <w:t>advanced geostatistics</w:t>
            </w:r>
            <w:r w:rsidR="00721EB0">
              <w:rPr>
                <w:sz w:val="20"/>
                <w:szCs w:val="20"/>
              </w:rPr>
              <w:t xml:space="preserve"> </w:t>
            </w:r>
            <w:r w:rsidRPr="00D150C6">
              <w:rPr>
                <w:sz w:val="20"/>
                <w:szCs w:val="20"/>
              </w:rPr>
              <w:t>and modeling of cost/risk/benefit factors</w:t>
            </w:r>
            <w:r w:rsidR="00721EB0">
              <w:rPr>
                <w:sz w:val="20"/>
                <w:szCs w:val="20"/>
              </w:rPr>
              <w:t xml:space="preserve">. Newly developed GIS and visualization </w:t>
            </w:r>
            <w:r w:rsidRPr="00D150C6">
              <w:rPr>
                <w:sz w:val="20"/>
                <w:szCs w:val="20"/>
              </w:rPr>
              <w:t>software</w:t>
            </w:r>
            <w:r w:rsidR="00721EB0">
              <w:rPr>
                <w:sz w:val="20"/>
                <w:szCs w:val="20"/>
              </w:rPr>
              <w:t xml:space="preserve"> packages </w:t>
            </w:r>
            <w:r w:rsidRPr="00D150C6">
              <w:rPr>
                <w:sz w:val="20"/>
                <w:szCs w:val="20"/>
              </w:rPr>
              <w:t xml:space="preserve">addressed the complex uncertainties associated with natural systems and environmental cleanup decisions. Technology verification reports were produced which documented the performance of the decision support softwares evaluated by </w:t>
            </w:r>
            <w:r w:rsidR="00BB7D80">
              <w:rPr>
                <w:sz w:val="20"/>
                <w:szCs w:val="20"/>
              </w:rPr>
              <w:t>the</w:t>
            </w:r>
            <w:r w:rsidRPr="00D150C6">
              <w:rPr>
                <w:sz w:val="20"/>
                <w:szCs w:val="20"/>
              </w:rPr>
              <w:t xml:space="preserve"> Environmental Technology Verification Program. </w:t>
            </w:r>
          </w:p>
          <w:p w14:paraId="28DE3B85" w14:textId="77777777" w:rsidR="00D150C6" w:rsidRPr="00D150C6" w:rsidRDefault="00D150C6" w:rsidP="00C01CCB">
            <w:pPr>
              <w:spacing w:after="0" w:line="240" w:lineRule="auto"/>
              <w:contextualSpacing/>
              <w:jc w:val="both"/>
              <w:rPr>
                <w:sz w:val="20"/>
                <w:szCs w:val="20"/>
              </w:rPr>
            </w:pPr>
          </w:p>
          <w:p w14:paraId="5AB9AD14" w14:textId="530FFF51" w:rsidR="00D150C6" w:rsidRPr="00D150C6" w:rsidRDefault="00D150C6" w:rsidP="00C01CCB">
            <w:pPr>
              <w:spacing w:after="0" w:line="240" w:lineRule="auto"/>
              <w:contextualSpacing/>
              <w:jc w:val="both"/>
              <w:rPr>
                <w:sz w:val="20"/>
                <w:szCs w:val="20"/>
              </w:rPr>
            </w:pPr>
            <w:r w:rsidRPr="00D150C6">
              <w:rPr>
                <w:sz w:val="20"/>
                <w:szCs w:val="20"/>
              </w:rPr>
              <w:t>As a member of the Consortium for Environmental Risk Evaluation (CERE), provided human health and ecological radionuclide risk metrics for evaluating innovative soil and groundwater treatment technologies for DOE</w:t>
            </w:r>
            <w:r w:rsidR="00BB7D80">
              <w:rPr>
                <w:sz w:val="20"/>
                <w:szCs w:val="20"/>
              </w:rPr>
              <w:t xml:space="preserve"> </w:t>
            </w:r>
            <w:r w:rsidRPr="00D150C6">
              <w:rPr>
                <w:sz w:val="20"/>
                <w:szCs w:val="20"/>
              </w:rPr>
              <w:t>EM. Developed a technology evaluation framework for DOE to assist in selection of applicable treatment technologies and to assist in communicating environmental cleanup decisions to federal and state regulatory agencies as well as the public.</w:t>
            </w:r>
          </w:p>
          <w:p w14:paraId="5CE16746" w14:textId="77777777" w:rsidR="005B68A0" w:rsidRPr="005B68A0" w:rsidRDefault="005B68A0" w:rsidP="00C01CCB">
            <w:pPr>
              <w:spacing w:after="0" w:line="240" w:lineRule="auto"/>
              <w:contextualSpacing/>
              <w:rPr>
                <w:sz w:val="20"/>
                <w:szCs w:val="20"/>
              </w:rPr>
            </w:pPr>
          </w:p>
          <w:p w14:paraId="3AC156FC" w14:textId="5DABF595" w:rsidR="00A32346" w:rsidRPr="004946DB" w:rsidRDefault="00A32346" w:rsidP="00C01CCB">
            <w:pPr>
              <w:spacing w:after="0" w:line="240" w:lineRule="auto"/>
              <w:contextualSpacing/>
              <w:rPr>
                <w:b/>
              </w:rPr>
            </w:pPr>
            <w:r w:rsidRPr="004946DB">
              <w:rPr>
                <w:b/>
              </w:rPr>
              <w:t>Technical Staff, Risk Analysis Section</w:t>
            </w:r>
            <w:r w:rsidR="008C122D">
              <w:rPr>
                <w:b/>
              </w:rPr>
              <w:t>, HSRD</w:t>
            </w:r>
          </w:p>
          <w:p w14:paraId="2632C7C2" w14:textId="62B1B831" w:rsidR="00A32346" w:rsidRDefault="00A32346" w:rsidP="00C01CCB">
            <w:pPr>
              <w:spacing w:after="0" w:line="312" w:lineRule="auto"/>
              <w:contextualSpacing/>
              <w:rPr>
                <w:sz w:val="20"/>
                <w:szCs w:val="20"/>
              </w:rPr>
            </w:pPr>
            <w:r w:rsidRPr="00A32346">
              <w:rPr>
                <w:sz w:val="20"/>
                <w:szCs w:val="20"/>
              </w:rPr>
              <w:t>199</w:t>
            </w:r>
            <w:r>
              <w:rPr>
                <w:sz w:val="20"/>
                <w:szCs w:val="20"/>
              </w:rPr>
              <w:t>0</w:t>
            </w:r>
            <w:r w:rsidRPr="00A32346">
              <w:rPr>
                <w:sz w:val="20"/>
                <w:szCs w:val="20"/>
              </w:rPr>
              <w:t xml:space="preserve"> – </w:t>
            </w:r>
            <w:r>
              <w:rPr>
                <w:sz w:val="20"/>
                <w:szCs w:val="20"/>
              </w:rPr>
              <w:t>1996</w:t>
            </w:r>
          </w:p>
          <w:p w14:paraId="0DF83D07" w14:textId="562BD559" w:rsidR="00A32346" w:rsidRPr="00A32346" w:rsidRDefault="00A32346" w:rsidP="00C01CCB">
            <w:pPr>
              <w:spacing w:after="0" w:line="240" w:lineRule="auto"/>
              <w:contextualSpacing/>
              <w:jc w:val="both"/>
              <w:rPr>
                <w:sz w:val="20"/>
                <w:szCs w:val="20"/>
              </w:rPr>
            </w:pPr>
            <w:r>
              <w:rPr>
                <w:sz w:val="20"/>
                <w:szCs w:val="20"/>
              </w:rPr>
              <w:t>PI</w:t>
            </w:r>
            <w:r w:rsidRPr="00A32346">
              <w:rPr>
                <w:sz w:val="20"/>
                <w:szCs w:val="20"/>
              </w:rPr>
              <w:t xml:space="preserve"> for performance assessment activities for the uranium in soils technology demonstration project for DOE</w:t>
            </w:r>
            <w:r>
              <w:rPr>
                <w:sz w:val="20"/>
                <w:szCs w:val="20"/>
              </w:rPr>
              <w:t xml:space="preserve"> </w:t>
            </w:r>
            <w:r w:rsidRPr="00A32346">
              <w:rPr>
                <w:sz w:val="20"/>
                <w:szCs w:val="20"/>
              </w:rPr>
              <w:t>EM, Office of Technology Development.</w:t>
            </w:r>
            <w:r>
              <w:rPr>
                <w:sz w:val="20"/>
                <w:szCs w:val="20"/>
              </w:rPr>
              <w:t xml:space="preserve"> </w:t>
            </w:r>
            <w:r w:rsidRPr="00A32346">
              <w:rPr>
                <w:sz w:val="20"/>
                <w:szCs w:val="20"/>
              </w:rPr>
              <w:t xml:space="preserve">Technical areas included; demonstrations and evaluations of characterization and treatment technologies developed for contaminated soils; the design and application of cost/risk analyses of remediation technologies and systems as well as the quantification of exposures and health risks from </w:t>
            </w:r>
            <w:bookmarkStart w:id="0" w:name="_Hlk535502784"/>
            <w:r w:rsidRPr="00A32346">
              <w:rPr>
                <w:sz w:val="20"/>
                <w:szCs w:val="20"/>
              </w:rPr>
              <w:t>contamin</w:t>
            </w:r>
            <w:bookmarkEnd w:id="0"/>
            <w:r w:rsidRPr="00A32346">
              <w:rPr>
                <w:sz w:val="20"/>
                <w:szCs w:val="20"/>
              </w:rPr>
              <w:t>ated media</w:t>
            </w:r>
            <w:r>
              <w:rPr>
                <w:sz w:val="20"/>
                <w:szCs w:val="20"/>
              </w:rPr>
              <w:t xml:space="preserve"> </w:t>
            </w:r>
            <w:r w:rsidRPr="00A32346">
              <w:rPr>
                <w:sz w:val="20"/>
                <w:szCs w:val="20"/>
              </w:rPr>
              <w:t>before, during and after technology implementation. Characterization and treatment technologies were studied at DOE facilities</w:t>
            </w:r>
            <w:r>
              <w:rPr>
                <w:sz w:val="20"/>
                <w:szCs w:val="20"/>
              </w:rPr>
              <w:t xml:space="preserve"> with radionuclide contaminated soils </w:t>
            </w:r>
            <w:r w:rsidRPr="00A32346">
              <w:rPr>
                <w:sz w:val="20"/>
                <w:szCs w:val="20"/>
              </w:rPr>
              <w:t xml:space="preserve"> in New Jersey, New Mexico, Tennessee, Ohio and Washington</w:t>
            </w:r>
            <w:r>
              <w:rPr>
                <w:sz w:val="20"/>
                <w:szCs w:val="20"/>
              </w:rPr>
              <w:t>.</w:t>
            </w:r>
          </w:p>
          <w:p w14:paraId="0749F456" w14:textId="77777777" w:rsidR="00A32346" w:rsidRPr="00A32346" w:rsidRDefault="00A32346" w:rsidP="00C01CCB">
            <w:pPr>
              <w:spacing w:after="0" w:line="240" w:lineRule="auto"/>
              <w:contextualSpacing/>
              <w:jc w:val="both"/>
              <w:rPr>
                <w:sz w:val="20"/>
                <w:szCs w:val="20"/>
              </w:rPr>
            </w:pPr>
          </w:p>
          <w:p w14:paraId="510C97E4" w14:textId="5F0705E5" w:rsidR="00E4654D" w:rsidRPr="00024C76" w:rsidRDefault="00A32346" w:rsidP="00C01CCB">
            <w:pPr>
              <w:spacing w:after="0" w:line="240" w:lineRule="auto"/>
              <w:contextualSpacing/>
              <w:jc w:val="both"/>
              <w:rPr>
                <w:sz w:val="20"/>
                <w:szCs w:val="20"/>
              </w:rPr>
            </w:pPr>
            <w:r w:rsidRPr="00A32346">
              <w:rPr>
                <w:sz w:val="20"/>
                <w:szCs w:val="20"/>
              </w:rPr>
              <w:t>Provided risk assessment technical assistance for environmental restoration projects at DOE and DoD sites. As a member of a multidisciplinary project team, provided technical assistance for determining fate and transport of contaminants (primarily radionuclides), estimating exposure and human health risks, and conducting cost/risk analyses of remedial options.</w:t>
            </w:r>
          </w:p>
        </w:tc>
      </w:tr>
      <w:tr w:rsidR="00927723" w14:paraId="074FFD7C" w14:textId="77777777" w:rsidTr="00C01CCB">
        <w:trPr>
          <w:trHeight w:val="450"/>
        </w:trPr>
        <w:tc>
          <w:tcPr>
            <w:tcW w:w="1980" w:type="dxa"/>
          </w:tcPr>
          <w:p w14:paraId="0C16C178" w14:textId="6F42871C" w:rsidR="00927723" w:rsidRPr="001D73D9" w:rsidRDefault="00431BCD" w:rsidP="00C01CCB">
            <w:pPr>
              <w:pStyle w:val="Heading1"/>
              <w:contextualSpacing/>
              <w:jc w:val="left"/>
              <w:outlineLvl w:val="0"/>
              <w:rPr>
                <w:sz w:val="20"/>
                <w:szCs w:val="20"/>
              </w:rPr>
            </w:pPr>
            <w:r w:rsidRPr="001D73D9">
              <w:rPr>
                <w:sz w:val="20"/>
                <w:szCs w:val="20"/>
              </w:rPr>
              <w:lastRenderedPageBreak/>
              <w:t xml:space="preserve">Selected Publications, </w:t>
            </w:r>
            <w:r w:rsidR="00C747DF" w:rsidRPr="001D73D9">
              <w:rPr>
                <w:sz w:val="20"/>
                <w:szCs w:val="20"/>
              </w:rPr>
              <w:t>INVITED</w:t>
            </w:r>
            <w:r w:rsidRPr="001D73D9">
              <w:rPr>
                <w:sz w:val="20"/>
                <w:szCs w:val="20"/>
              </w:rPr>
              <w:t xml:space="preserve"> Presentations</w:t>
            </w:r>
            <w:r w:rsidR="00B87B6B" w:rsidRPr="001D73D9">
              <w:rPr>
                <w:sz w:val="20"/>
                <w:szCs w:val="20"/>
              </w:rPr>
              <w:t xml:space="preserve"> </w:t>
            </w:r>
            <w:r w:rsidR="00CA45E7" w:rsidRPr="00F36760">
              <w:rPr>
                <w:b w:val="0"/>
                <w:bCs w:val="0"/>
                <w:color w:val="auto"/>
                <w:sz w:val="18"/>
                <w:szCs w:val="18"/>
              </w:rPr>
              <w:t>(201</w:t>
            </w:r>
            <w:r w:rsidR="00C747DF" w:rsidRPr="00F36760">
              <w:rPr>
                <w:b w:val="0"/>
                <w:bCs w:val="0"/>
                <w:color w:val="auto"/>
                <w:sz w:val="18"/>
                <w:szCs w:val="18"/>
              </w:rPr>
              <w:t>8</w:t>
            </w:r>
            <w:r w:rsidR="009556AD">
              <w:rPr>
                <w:b w:val="0"/>
                <w:bCs w:val="0"/>
                <w:color w:val="auto"/>
                <w:sz w:val="18"/>
                <w:szCs w:val="18"/>
              </w:rPr>
              <w:t xml:space="preserve"> </w:t>
            </w:r>
            <w:r w:rsidR="00CA45E7" w:rsidRPr="00F36760">
              <w:rPr>
                <w:b w:val="0"/>
                <w:bCs w:val="0"/>
                <w:color w:val="auto"/>
                <w:sz w:val="18"/>
                <w:szCs w:val="18"/>
              </w:rPr>
              <w:t xml:space="preserve">- </w:t>
            </w:r>
            <w:r w:rsidR="00F36760" w:rsidRPr="00F36760">
              <w:rPr>
                <w:b w:val="0"/>
                <w:bCs w:val="0"/>
                <w:color w:val="auto"/>
                <w:sz w:val="18"/>
                <w:szCs w:val="18"/>
              </w:rPr>
              <w:t>present</w:t>
            </w:r>
            <w:r w:rsidR="00CA45E7" w:rsidRPr="00F36760">
              <w:rPr>
                <w:b w:val="0"/>
                <w:bCs w:val="0"/>
                <w:sz w:val="18"/>
                <w:szCs w:val="18"/>
              </w:rPr>
              <w:t>)</w:t>
            </w:r>
          </w:p>
        </w:tc>
        <w:tc>
          <w:tcPr>
            <w:tcW w:w="8280" w:type="dxa"/>
          </w:tcPr>
          <w:p w14:paraId="43854903" w14:textId="1816A604" w:rsidR="00E6775C" w:rsidRPr="00E6775C" w:rsidRDefault="00E6775C" w:rsidP="00C01CCB">
            <w:pPr>
              <w:spacing w:after="0" w:line="240" w:lineRule="auto"/>
              <w:ind w:right="-144"/>
              <w:rPr>
                <w:sz w:val="20"/>
                <w:szCs w:val="20"/>
                <w:u w:val="single"/>
              </w:rPr>
            </w:pPr>
            <w:r w:rsidRPr="00E6775C">
              <w:rPr>
                <w:sz w:val="20"/>
                <w:szCs w:val="20"/>
                <w:u w:val="single"/>
              </w:rPr>
              <w:t>Documents</w:t>
            </w:r>
          </w:p>
          <w:p w14:paraId="5A24C126" w14:textId="4A5F4274" w:rsidR="00651D58" w:rsidRPr="00EE59E0" w:rsidRDefault="00651D58" w:rsidP="00C01CCB">
            <w:pPr>
              <w:spacing w:after="0" w:line="240" w:lineRule="auto"/>
              <w:ind w:right="-144"/>
              <w:rPr>
                <w:rFonts w:eastAsia="Times New Roman" w:cstheme="minorHAnsi"/>
                <w:sz w:val="20"/>
                <w:szCs w:val="20"/>
              </w:rPr>
            </w:pPr>
            <w:r>
              <w:rPr>
                <w:sz w:val="20"/>
                <w:szCs w:val="20"/>
              </w:rPr>
              <w:t>E.</w:t>
            </w:r>
            <w:r w:rsidRPr="00EE59E0">
              <w:rPr>
                <w:rFonts w:eastAsia="Times New Roman" w:cstheme="minorHAnsi"/>
                <w:sz w:val="20"/>
                <w:szCs w:val="20"/>
              </w:rPr>
              <w:t>.A. Asano, F.G. Dolislager, K.L. Manning, D.J. Stewart, K.A. Noto, H.J. Ringer, C.E. Samuels, L.D. Galloway, A.Q. Armstrong, M.B. Bellamy.</w:t>
            </w:r>
            <w:r w:rsidRPr="00EE59E0">
              <w:rPr>
                <w:rFonts w:cstheme="minorHAnsi"/>
                <w:sz w:val="20"/>
                <w:szCs w:val="20"/>
              </w:rPr>
              <w:t xml:space="preserve"> </w:t>
            </w:r>
            <w:r w:rsidRPr="00EE59E0">
              <w:rPr>
                <w:rFonts w:eastAsia="Times New Roman" w:cstheme="minorHAnsi"/>
                <w:i/>
                <w:iCs/>
                <w:sz w:val="20"/>
                <w:szCs w:val="20"/>
              </w:rPr>
              <w:t>Air Exchange Rate Impact on Actinon, Thoron, and Radon Activity Equilibrium Factor and Fractional Equilibrium Factor Determination in Vapor Intrusion Risk and Dose Models</w:t>
            </w:r>
            <w:r w:rsidRPr="00EE59E0">
              <w:rPr>
                <w:rFonts w:eastAsia="Times New Roman" w:cstheme="minorHAnsi"/>
                <w:sz w:val="20"/>
                <w:szCs w:val="20"/>
              </w:rPr>
              <w:t>. August 2019. ORNL//TM-2019/1269.</w:t>
            </w:r>
          </w:p>
          <w:p w14:paraId="4F12C63D" w14:textId="77777777" w:rsidR="00651D58" w:rsidRPr="00EE59E0" w:rsidRDefault="00651D58" w:rsidP="00C01CCB">
            <w:pPr>
              <w:spacing w:after="0" w:line="240" w:lineRule="auto"/>
              <w:rPr>
                <w:rFonts w:cstheme="minorHAnsi"/>
                <w:bCs/>
                <w:sz w:val="20"/>
                <w:szCs w:val="20"/>
              </w:rPr>
            </w:pPr>
            <w:r w:rsidRPr="00EE59E0">
              <w:rPr>
                <w:rFonts w:cstheme="minorHAnsi"/>
                <w:bCs/>
                <w:sz w:val="20"/>
                <w:szCs w:val="20"/>
              </w:rPr>
              <w:t xml:space="preserve">- A. Armstrong, A. Watson, G. Intano. </w:t>
            </w:r>
            <w:r w:rsidRPr="00EE59E0">
              <w:rPr>
                <w:rFonts w:cstheme="minorHAnsi"/>
                <w:bCs/>
                <w:i/>
                <w:iCs/>
                <w:sz w:val="20"/>
                <w:szCs w:val="20"/>
              </w:rPr>
              <w:t>Biological Military Exposure Guidelines for Airborne Brucella spp. Causing Brucellosis</w:t>
            </w:r>
            <w:r w:rsidRPr="00EE59E0">
              <w:rPr>
                <w:rFonts w:cstheme="minorHAnsi"/>
                <w:bCs/>
                <w:sz w:val="20"/>
                <w:szCs w:val="20"/>
              </w:rPr>
              <w:t>. TBMED580-RD5-BMEG-Brucella-Air-SME Review Document, July 2019. 63 p. (DoD APHC OUO)</w:t>
            </w:r>
          </w:p>
          <w:p w14:paraId="1E4C0088" w14:textId="77777777" w:rsidR="00651D58" w:rsidRPr="00EE59E0" w:rsidRDefault="00651D58" w:rsidP="00C01CCB">
            <w:pPr>
              <w:spacing w:after="0" w:line="240" w:lineRule="auto"/>
              <w:rPr>
                <w:rFonts w:cstheme="minorHAnsi"/>
                <w:bCs/>
                <w:sz w:val="20"/>
                <w:szCs w:val="20"/>
              </w:rPr>
            </w:pPr>
            <w:r w:rsidRPr="00EE59E0">
              <w:rPr>
                <w:rFonts w:cstheme="minorHAnsi"/>
                <w:bCs/>
                <w:sz w:val="20"/>
                <w:szCs w:val="20"/>
              </w:rPr>
              <w:t xml:space="preserve">- G. Intano, B Gutting, G. McClellan, D. Crary, (A. Armstrong, M. McAtee contributors). </w:t>
            </w:r>
            <w:r w:rsidRPr="00EE59E0">
              <w:rPr>
                <w:rFonts w:cstheme="minorHAnsi"/>
                <w:bCs/>
                <w:i/>
                <w:iCs/>
                <w:sz w:val="20"/>
                <w:szCs w:val="20"/>
              </w:rPr>
              <w:t>Biological Military Exposure Guidelines for Inhalation Exposure to Aerosolized Staphylococcus Enterotoxin B (SEB</w:t>
            </w:r>
            <w:r w:rsidRPr="00EE59E0">
              <w:rPr>
                <w:rFonts w:cstheme="minorHAnsi"/>
                <w:bCs/>
                <w:sz w:val="20"/>
                <w:szCs w:val="20"/>
              </w:rPr>
              <w:t>). TBMED580-RD6-BMEG-SEB-Air-SME Review Document, July 2019. 206 p. (DoD APHC OUO)</w:t>
            </w:r>
          </w:p>
          <w:p w14:paraId="64BD2A3C" w14:textId="77777777" w:rsidR="00651D58" w:rsidRPr="00EE59E0" w:rsidRDefault="00651D58" w:rsidP="00C01CCB">
            <w:pPr>
              <w:spacing w:after="0" w:line="240" w:lineRule="auto"/>
              <w:rPr>
                <w:rFonts w:cstheme="minorHAnsi"/>
                <w:bCs/>
                <w:sz w:val="20"/>
                <w:szCs w:val="20"/>
              </w:rPr>
            </w:pPr>
            <w:r w:rsidRPr="00EE59E0">
              <w:rPr>
                <w:rFonts w:cstheme="minorHAnsi"/>
                <w:bCs/>
                <w:sz w:val="20"/>
                <w:szCs w:val="20"/>
              </w:rPr>
              <w:t xml:space="preserve">- B. Thran, M. McAtee, G. Intano, S. Comaty, K. Ulmes, A. Watson, A. Armstrong, B. Gutting, G. McClellan, M. Coleman. </w:t>
            </w:r>
            <w:r w:rsidRPr="00EE59E0">
              <w:rPr>
                <w:rFonts w:cstheme="minorHAnsi"/>
                <w:bCs/>
                <w:i/>
                <w:iCs/>
                <w:sz w:val="20"/>
                <w:szCs w:val="20"/>
              </w:rPr>
              <w:t>Biological Military Exposure Guideline Development Protocol</w:t>
            </w:r>
            <w:r w:rsidRPr="00EE59E0">
              <w:rPr>
                <w:rFonts w:cstheme="minorHAnsi"/>
                <w:bCs/>
                <w:sz w:val="20"/>
                <w:szCs w:val="20"/>
              </w:rPr>
              <w:t>. TBMED580-RD1-BMEG-Protocol Document, June 2019. 143 p. (DoD APHC OUO)</w:t>
            </w:r>
          </w:p>
          <w:p w14:paraId="480A2EEA" w14:textId="06839ED0" w:rsidR="00651D58" w:rsidRPr="00EE59E0" w:rsidRDefault="00651D58" w:rsidP="00C01CCB">
            <w:pPr>
              <w:spacing w:after="0" w:line="240" w:lineRule="auto"/>
              <w:rPr>
                <w:rFonts w:cstheme="minorHAnsi"/>
                <w:bCs/>
                <w:sz w:val="20"/>
                <w:szCs w:val="20"/>
              </w:rPr>
            </w:pPr>
            <w:r>
              <w:rPr>
                <w:rFonts w:cstheme="minorHAnsi"/>
                <w:bCs/>
                <w:sz w:val="20"/>
                <w:szCs w:val="20"/>
              </w:rPr>
              <w:t xml:space="preserve">- </w:t>
            </w:r>
            <w:r w:rsidRPr="00EE59E0">
              <w:rPr>
                <w:rFonts w:cstheme="minorHAnsi"/>
                <w:bCs/>
                <w:sz w:val="20"/>
                <w:szCs w:val="20"/>
              </w:rPr>
              <w:t xml:space="preserve">S. Comaty, A. Armstrong, F. Dolislager, M. McAtee. </w:t>
            </w:r>
            <w:r w:rsidRPr="00EE59E0">
              <w:rPr>
                <w:rFonts w:cstheme="minorHAnsi"/>
                <w:bCs/>
                <w:i/>
                <w:iCs/>
                <w:sz w:val="20"/>
                <w:szCs w:val="20"/>
              </w:rPr>
              <w:t xml:space="preserve">Gray Water Reuse (Nonpotable) Guidelines. </w:t>
            </w:r>
            <w:r w:rsidRPr="00746FD3">
              <w:rPr>
                <w:rFonts w:cstheme="minorHAnsi"/>
                <w:bCs/>
                <w:sz w:val="20"/>
                <w:szCs w:val="20"/>
              </w:rPr>
              <w:t>Public Health Information Report,</w:t>
            </w:r>
            <w:r w:rsidRPr="00EE59E0">
              <w:rPr>
                <w:rFonts w:cstheme="minorHAnsi"/>
                <w:bCs/>
                <w:sz w:val="20"/>
                <w:szCs w:val="20"/>
              </w:rPr>
              <w:t xml:space="preserve"> </w:t>
            </w:r>
            <w:r w:rsidR="00746FD3">
              <w:rPr>
                <w:rFonts w:cstheme="minorHAnsi"/>
                <w:bCs/>
                <w:sz w:val="20"/>
                <w:szCs w:val="20"/>
              </w:rPr>
              <w:t xml:space="preserve">Final </w:t>
            </w:r>
            <w:r w:rsidRPr="00EE59E0">
              <w:rPr>
                <w:rFonts w:cstheme="minorHAnsi"/>
                <w:bCs/>
                <w:sz w:val="20"/>
                <w:szCs w:val="20"/>
              </w:rPr>
              <w:t>Draft, December 2018. 88 p.(DoD APHC OUO)</w:t>
            </w:r>
          </w:p>
          <w:p w14:paraId="49B6AF28" w14:textId="77777777" w:rsidR="00651D58" w:rsidRPr="00EE59E0" w:rsidRDefault="00651D58" w:rsidP="00C01CCB">
            <w:pPr>
              <w:spacing w:after="0" w:line="240" w:lineRule="auto"/>
              <w:rPr>
                <w:rFonts w:cstheme="minorHAnsi"/>
                <w:bCs/>
                <w:sz w:val="20"/>
                <w:szCs w:val="20"/>
              </w:rPr>
            </w:pPr>
            <w:r w:rsidRPr="00EE59E0">
              <w:rPr>
                <w:rFonts w:cstheme="minorHAnsi"/>
                <w:bCs/>
                <w:sz w:val="20"/>
                <w:szCs w:val="20"/>
              </w:rPr>
              <w:t xml:space="preserve">- A. Armstrong, D. Glass-Mattie, G. Intano. </w:t>
            </w:r>
            <w:r w:rsidRPr="00EE59E0">
              <w:rPr>
                <w:rFonts w:cstheme="minorHAnsi"/>
                <w:bCs/>
                <w:i/>
                <w:iCs/>
                <w:sz w:val="20"/>
                <w:szCs w:val="20"/>
              </w:rPr>
              <w:t>Data Qualification Report for Biological Military Exposure Guidelines for Aerosolized Ricin</w:t>
            </w:r>
            <w:r w:rsidRPr="00EE59E0">
              <w:rPr>
                <w:rFonts w:cstheme="minorHAnsi"/>
                <w:bCs/>
                <w:sz w:val="20"/>
                <w:szCs w:val="20"/>
              </w:rPr>
              <w:t xml:space="preserve">. TBMED580-RD7-BMEG-Ricin-Air-DQR, </w:t>
            </w:r>
            <w:r>
              <w:rPr>
                <w:rFonts w:cstheme="minorHAnsi"/>
                <w:bCs/>
                <w:sz w:val="20"/>
                <w:szCs w:val="20"/>
              </w:rPr>
              <w:t xml:space="preserve">Final </w:t>
            </w:r>
            <w:r w:rsidRPr="00EE59E0">
              <w:rPr>
                <w:rFonts w:cstheme="minorHAnsi"/>
                <w:bCs/>
                <w:sz w:val="20"/>
                <w:szCs w:val="20"/>
              </w:rPr>
              <w:t>Draft, June 2019. 50 p. (DoD APHC OUO)</w:t>
            </w:r>
          </w:p>
          <w:p w14:paraId="006A7DCF" w14:textId="77777777" w:rsidR="00651D58" w:rsidRPr="00EE59E0" w:rsidRDefault="00651D58" w:rsidP="00C01CCB">
            <w:pPr>
              <w:spacing w:after="0" w:line="240" w:lineRule="auto"/>
              <w:rPr>
                <w:rFonts w:cstheme="minorHAnsi"/>
                <w:bCs/>
                <w:sz w:val="20"/>
                <w:szCs w:val="20"/>
              </w:rPr>
            </w:pPr>
            <w:r w:rsidRPr="00EE59E0">
              <w:rPr>
                <w:rFonts w:cstheme="minorHAnsi"/>
                <w:bCs/>
                <w:sz w:val="20"/>
                <w:szCs w:val="20"/>
              </w:rPr>
              <w:t xml:space="preserve">- A. Armstrong, D. Glass-Mattie, G. Intano. </w:t>
            </w:r>
            <w:r w:rsidRPr="00EE59E0">
              <w:rPr>
                <w:rFonts w:cstheme="minorHAnsi"/>
                <w:bCs/>
                <w:i/>
                <w:iCs/>
                <w:sz w:val="20"/>
                <w:szCs w:val="20"/>
              </w:rPr>
              <w:t>Biological Military Exposure Guidelines for Aerosolized Ricin</w:t>
            </w:r>
            <w:r w:rsidRPr="00EE59E0">
              <w:rPr>
                <w:rFonts w:cstheme="minorHAnsi"/>
                <w:bCs/>
                <w:sz w:val="20"/>
                <w:szCs w:val="20"/>
              </w:rPr>
              <w:t xml:space="preserve">. TBMED580-RD7-BMEG-Ricin-Air, </w:t>
            </w:r>
            <w:r>
              <w:rPr>
                <w:rFonts w:cstheme="minorHAnsi"/>
                <w:bCs/>
                <w:sz w:val="20"/>
                <w:szCs w:val="20"/>
              </w:rPr>
              <w:t xml:space="preserve">Final </w:t>
            </w:r>
            <w:r w:rsidRPr="00EE59E0">
              <w:rPr>
                <w:rFonts w:cstheme="minorHAnsi"/>
                <w:bCs/>
                <w:sz w:val="20"/>
                <w:szCs w:val="20"/>
              </w:rPr>
              <w:t>Draft, June 2019. 61 p. (DoD APHC OUO)</w:t>
            </w:r>
          </w:p>
          <w:p w14:paraId="10690D5F" w14:textId="5DDFD082" w:rsidR="00651D58" w:rsidRDefault="00651D58" w:rsidP="00C01CCB">
            <w:pPr>
              <w:spacing w:after="0" w:line="240" w:lineRule="auto"/>
              <w:rPr>
                <w:rFonts w:eastAsia="Calibri" w:cstheme="minorHAnsi"/>
                <w:color w:val="auto"/>
                <w:sz w:val="20"/>
                <w:szCs w:val="20"/>
              </w:rPr>
            </w:pPr>
            <w:r w:rsidRPr="00EE59E0">
              <w:rPr>
                <w:rFonts w:eastAsia="Calibri" w:cstheme="minorHAnsi"/>
                <w:color w:val="auto"/>
                <w:sz w:val="20"/>
                <w:szCs w:val="20"/>
              </w:rPr>
              <w:t xml:space="preserve">- A.P. Watson, A.Q. Armstrong, G.H. White, B.H Thran.  </w:t>
            </w:r>
            <w:r w:rsidRPr="00EE59E0">
              <w:rPr>
                <w:rFonts w:eastAsia="Calibri" w:cstheme="minorHAnsi"/>
                <w:i/>
                <w:iCs/>
                <w:color w:val="auto"/>
                <w:sz w:val="20"/>
                <w:szCs w:val="20"/>
              </w:rPr>
              <w:t>Health-based ingestion exposure guidelines for Vibrio cholerae: Technical basis for water reuse applications</w:t>
            </w:r>
            <w:r w:rsidRPr="00EE59E0">
              <w:rPr>
                <w:rFonts w:eastAsia="Calibri" w:cstheme="minorHAnsi"/>
                <w:color w:val="auto"/>
                <w:sz w:val="20"/>
                <w:szCs w:val="20"/>
              </w:rPr>
              <w:t xml:space="preserve">. Science of The Total Environment, Volumes 613–614, February 2018.  379-387. </w:t>
            </w:r>
          </w:p>
          <w:p w14:paraId="6E4EE883" w14:textId="51666642" w:rsidR="00E6775C" w:rsidRDefault="00E6775C" w:rsidP="00C01CCB">
            <w:pPr>
              <w:spacing w:after="0" w:line="240" w:lineRule="auto"/>
              <w:rPr>
                <w:rFonts w:eastAsia="Calibri" w:cstheme="minorHAnsi"/>
                <w:color w:val="auto"/>
                <w:sz w:val="20"/>
                <w:szCs w:val="20"/>
              </w:rPr>
            </w:pPr>
          </w:p>
          <w:p w14:paraId="606DDB8D" w14:textId="23A34A1F" w:rsidR="00E6775C" w:rsidRPr="0010535B" w:rsidRDefault="00E6775C" w:rsidP="00C01CCB">
            <w:pPr>
              <w:spacing w:after="0" w:line="240" w:lineRule="auto"/>
              <w:rPr>
                <w:rFonts w:eastAsia="Calibri" w:cstheme="minorHAnsi"/>
                <w:color w:val="auto"/>
                <w:sz w:val="20"/>
                <w:szCs w:val="20"/>
                <w:u w:val="single"/>
              </w:rPr>
            </w:pPr>
            <w:r w:rsidRPr="0010535B">
              <w:rPr>
                <w:rFonts w:eastAsia="Calibri" w:cstheme="minorHAnsi"/>
                <w:color w:val="auto"/>
                <w:sz w:val="20"/>
                <w:szCs w:val="20"/>
                <w:u w:val="single"/>
              </w:rPr>
              <w:t>Presentations</w:t>
            </w:r>
          </w:p>
          <w:p w14:paraId="2494C768" w14:textId="1119BEDA" w:rsidR="00651D58" w:rsidRPr="0010535B" w:rsidRDefault="00D63B8E" w:rsidP="00C01CCB">
            <w:pPr>
              <w:spacing w:after="0" w:line="240" w:lineRule="auto"/>
              <w:rPr>
                <w:sz w:val="20"/>
                <w:szCs w:val="20"/>
              </w:rPr>
            </w:pPr>
            <w:r>
              <w:rPr>
                <w:sz w:val="20"/>
                <w:szCs w:val="20"/>
              </w:rPr>
              <w:t xml:space="preserve">- </w:t>
            </w:r>
            <w:r w:rsidR="00651D58" w:rsidRPr="0010535B">
              <w:rPr>
                <w:sz w:val="20"/>
                <w:szCs w:val="20"/>
              </w:rPr>
              <w:t xml:space="preserve">A. Armstrong, M. McAtee, G. White, A. Morton, J. Piburn. </w:t>
            </w:r>
            <w:r w:rsidR="00651D58" w:rsidRPr="0010535B">
              <w:rPr>
                <w:i/>
                <w:iCs/>
                <w:sz w:val="20"/>
                <w:szCs w:val="20"/>
              </w:rPr>
              <w:t>Personnel Time on Installation Analytics</w:t>
            </w:r>
            <w:r w:rsidR="00651D58" w:rsidRPr="0010535B">
              <w:rPr>
                <w:sz w:val="20"/>
                <w:szCs w:val="20"/>
              </w:rPr>
              <w:t>. DoD AEC/APHC Project Review, Fort Sam Houston, TX. March 3-4, 2020. All materials OUO.</w:t>
            </w:r>
          </w:p>
          <w:p w14:paraId="7AB2B06D" w14:textId="77777777" w:rsidR="00651D58" w:rsidRPr="0010535B" w:rsidRDefault="00651D58" w:rsidP="00C01CCB">
            <w:pPr>
              <w:spacing w:after="0" w:line="240" w:lineRule="auto"/>
              <w:rPr>
                <w:sz w:val="20"/>
                <w:szCs w:val="20"/>
              </w:rPr>
            </w:pPr>
            <w:r w:rsidRPr="0010535B">
              <w:rPr>
                <w:sz w:val="20"/>
                <w:szCs w:val="20"/>
              </w:rPr>
              <w:t xml:space="preserve">- G. Intano, B Gutting, G. McClellan, D. Crary, (A. Armstrong, M. McAtee contributors). </w:t>
            </w:r>
            <w:r w:rsidRPr="0010535B">
              <w:rPr>
                <w:i/>
                <w:iCs/>
                <w:sz w:val="20"/>
                <w:szCs w:val="20"/>
              </w:rPr>
              <w:t>Interim BMEGs for Inhalation Exposure to Aerosolized Staphylococcus Enterotoxin B (SE</w:t>
            </w:r>
            <w:r w:rsidRPr="0010535B">
              <w:rPr>
                <w:sz w:val="20"/>
                <w:szCs w:val="20"/>
              </w:rPr>
              <w:t>B). Subject Matter Expert Workshop. August 28, 2019. NCI Library, Fort Detrick, MD. DoD APHC. All materials OUO.</w:t>
            </w:r>
          </w:p>
          <w:p w14:paraId="34274906" w14:textId="77777777" w:rsidR="00651D58" w:rsidRPr="0010535B" w:rsidRDefault="00651D58" w:rsidP="00C01CCB">
            <w:pPr>
              <w:spacing w:after="0" w:line="240" w:lineRule="auto"/>
              <w:rPr>
                <w:sz w:val="20"/>
                <w:szCs w:val="20"/>
              </w:rPr>
            </w:pPr>
            <w:r w:rsidRPr="0010535B">
              <w:rPr>
                <w:sz w:val="20"/>
                <w:szCs w:val="20"/>
              </w:rPr>
              <w:t xml:space="preserve">- A. Armstrong, A. Watson, G. Intano. </w:t>
            </w:r>
            <w:r w:rsidRPr="0010535B">
              <w:rPr>
                <w:i/>
                <w:iCs/>
                <w:sz w:val="20"/>
                <w:szCs w:val="20"/>
              </w:rPr>
              <w:t>Interim BMEGs for Inhalation Exposure to Aerosolized Brucella spp</w:t>
            </w:r>
            <w:r w:rsidRPr="0010535B">
              <w:rPr>
                <w:sz w:val="20"/>
                <w:szCs w:val="20"/>
              </w:rPr>
              <w:t>. Subject Matter Expert Workshop. August 15, 2019. NCI Library, Fort Detrick, MD. DoD APHC. All materials OUO.</w:t>
            </w:r>
          </w:p>
          <w:p w14:paraId="622935BB" w14:textId="77777777" w:rsidR="00651D58" w:rsidRPr="0010535B" w:rsidRDefault="00651D58" w:rsidP="00C01CCB">
            <w:pPr>
              <w:spacing w:after="0" w:line="240" w:lineRule="auto"/>
              <w:rPr>
                <w:sz w:val="20"/>
                <w:szCs w:val="20"/>
              </w:rPr>
            </w:pPr>
            <w:r w:rsidRPr="0010535B">
              <w:rPr>
                <w:sz w:val="20"/>
                <w:szCs w:val="20"/>
              </w:rPr>
              <w:t xml:space="preserve">- E. Asano, A. Armstrong, F. Dolislager. </w:t>
            </w:r>
            <w:r w:rsidRPr="0010535B">
              <w:rPr>
                <w:i/>
                <w:iCs/>
                <w:sz w:val="20"/>
                <w:szCs w:val="20"/>
              </w:rPr>
              <w:t>Air Exchange Rate Impact on Actinon, Thoron, and Radon Activity Equilibrium Factor and Fractional Equilibrium Factor Determination in Vapor Intrusion Risk and Dose Models</w:t>
            </w:r>
            <w:r w:rsidRPr="0010535B">
              <w:rPr>
                <w:sz w:val="20"/>
                <w:szCs w:val="20"/>
              </w:rPr>
              <w:t xml:space="preserve">. ORAU NESLS Poster Session, August 7, 2019. </w:t>
            </w:r>
          </w:p>
          <w:p w14:paraId="61FF3CDE" w14:textId="77777777" w:rsidR="00651D58" w:rsidRPr="0010535B" w:rsidRDefault="00651D58" w:rsidP="00C01CCB">
            <w:pPr>
              <w:spacing w:after="0" w:line="240" w:lineRule="auto"/>
              <w:rPr>
                <w:sz w:val="20"/>
                <w:szCs w:val="20"/>
              </w:rPr>
            </w:pPr>
            <w:r w:rsidRPr="0010535B">
              <w:rPr>
                <w:sz w:val="20"/>
                <w:szCs w:val="20"/>
              </w:rPr>
              <w:t xml:space="preserve">- A. Armstrong. </w:t>
            </w:r>
            <w:r w:rsidRPr="0010535B">
              <w:rPr>
                <w:i/>
                <w:iCs/>
                <w:sz w:val="20"/>
                <w:szCs w:val="20"/>
              </w:rPr>
              <w:t>Advanced Chemical Security Culture</w:t>
            </w:r>
            <w:r w:rsidRPr="0010535B">
              <w:rPr>
                <w:sz w:val="20"/>
                <w:szCs w:val="20"/>
              </w:rPr>
              <w:t xml:space="preserve">. Chemical Security, Import Control and  Dual-Use Chemicals Workshop, Department of State, Chemical Security Program. June 11-13, 2019. Athens Greece. All materials OUO. </w:t>
            </w:r>
          </w:p>
          <w:p w14:paraId="17CF0D1B" w14:textId="77777777" w:rsidR="00651D58" w:rsidRPr="0010535B" w:rsidRDefault="00651D58" w:rsidP="00C01CCB">
            <w:pPr>
              <w:spacing w:after="0" w:line="240" w:lineRule="auto"/>
              <w:rPr>
                <w:sz w:val="20"/>
                <w:szCs w:val="20"/>
              </w:rPr>
            </w:pPr>
            <w:r w:rsidRPr="0010535B">
              <w:rPr>
                <w:sz w:val="20"/>
                <w:szCs w:val="20"/>
              </w:rPr>
              <w:t xml:space="preserve">- A. Armstrong. </w:t>
            </w:r>
            <w:r w:rsidRPr="0010535B">
              <w:rPr>
                <w:i/>
                <w:iCs/>
                <w:sz w:val="20"/>
                <w:szCs w:val="20"/>
              </w:rPr>
              <w:t>Dual-Use Chemicals and Commodities of Concern</w:t>
            </w:r>
            <w:r w:rsidRPr="0010535B">
              <w:rPr>
                <w:sz w:val="20"/>
                <w:szCs w:val="20"/>
              </w:rPr>
              <w:t>. Chemical Security, Import Control and  Dual-Use Chemicals Workshop, Department of State, Chemical Security Program. June 11-13, 2019. Athens Greece. All materials OUO.</w:t>
            </w:r>
          </w:p>
          <w:p w14:paraId="7D369354" w14:textId="77777777" w:rsidR="00651D58" w:rsidRPr="0010535B" w:rsidRDefault="00651D58" w:rsidP="00C01CCB">
            <w:pPr>
              <w:spacing w:after="0" w:line="240" w:lineRule="auto"/>
              <w:rPr>
                <w:sz w:val="20"/>
                <w:szCs w:val="20"/>
              </w:rPr>
            </w:pPr>
            <w:r w:rsidRPr="0010535B">
              <w:rPr>
                <w:sz w:val="20"/>
                <w:szCs w:val="20"/>
              </w:rPr>
              <w:t xml:space="preserve">- A. Armstrong. </w:t>
            </w:r>
            <w:r w:rsidRPr="0010535B">
              <w:rPr>
                <w:i/>
                <w:iCs/>
                <w:sz w:val="20"/>
                <w:szCs w:val="20"/>
              </w:rPr>
              <w:t>Communicating Chemical Security</w:t>
            </w:r>
            <w:r w:rsidRPr="0010535B">
              <w:rPr>
                <w:sz w:val="20"/>
                <w:szCs w:val="20"/>
              </w:rPr>
              <w:t>. Chemical Security, Import Control and  Dual-Use Chemicals Workshop, Department of State, Chemical Security Program. June 11-13, 2019. Athens Greece. All materials OUO.</w:t>
            </w:r>
          </w:p>
          <w:p w14:paraId="31BF0B82" w14:textId="77777777" w:rsidR="00651D58" w:rsidRPr="00445FB6" w:rsidRDefault="00651D58" w:rsidP="00C01CCB">
            <w:pPr>
              <w:spacing w:after="0" w:line="240" w:lineRule="auto"/>
              <w:rPr>
                <w:sz w:val="20"/>
                <w:szCs w:val="20"/>
              </w:rPr>
            </w:pPr>
            <w:r w:rsidRPr="0010535B">
              <w:rPr>
                <w:sz w:val="20"/>
                <w:szCs w:val="20"/>
              </w:rPr>
              <w:lastRenderedPageBreak/>
              <w:t xml:space="preserve">- </w:t>
            </w:r>
            <w:r w:rsidRPr="00445FB6">
              <w:rPr>
                <w:sz w:val="20"/>
                <w:szCs w:val="20"/>
              </w:rPr>
              <w:t xml:space="preserve">A. Armstrong, N Turk. </w:t>
            </w:r>
            <w:r w:rsidRPr="00445FB6">
              <w:rPr>
                <w:i/>
                <w:iCs/>
                <w:sz w:val="20"/>
                <w:szCs w:val="20"/>
              </w:rPr>
              <w:t>Exercise on Chemical Hazards and Risks</w:t>
            </w:r>
            <w:r w:rsidRPr="00445FB6">
              <w:rPr>
                <w:sz w:val="20"/>
                <w:szCs w:val="20"/>
              </w:rPr>
              <w:t>. Chemical Security, Import Control and  Dual-Use Chemicals Workshop, Department of State, Chemical Security Program. June 11-13, 2019. Athens Greece. All materials OUO.</w:t>
            </w:r>
          </w:p>
          <w:p w14:paraId="092935CC" w14:textId="69FB14F0" w:rsidR="00651D58" w:rsidRPr="00445FB6" w:rsidRDefault="00651D58" w:rsidP="00C01CCB">
            <w:pPr>
              <w:spacing w:after="0" w:line="240" w:lineRule="auto"/>
              <w:rPr>
                <w:sz w:val="20"/>
                <w:szCs w:val="20"/>
              </w:rPr>
            </w:pPr>
            <w:r w:rsidRPr="00445FB6">
              <w:rPr>
                <w:sz w:val="20"/>
                <w:szCs w:val="20"/>
              </w:rPr>
              <w:t xml:space="preserve">- A. Armstrong, R. Stewart, A. Morton. </w:t>
            </w:r>
            <w:r w:rsidRPr="00445FB6">
              <w:rPr>
                <w:i/>
                <w:iCs/>
                <w:sz w:val="20"/>
                <w:szCs w:val="20"/>
              </w:rPr>
              <w:t>Health Assessments and Geographic Data Science Briefing</w:t>
            </w:r>
            <w:r w:rsidRPr="00445FB6">
              <w:rPr>
                <w:sz w:val="20"/>
                <w:szCs w:val="20"/>
              </w:rPr>
              <w:t xml:space="preserve">. December 18, 2018. DoD APHC, Aberdeen Proving Ground, MD. </w:t>
            </w:r>
          </w:p>
          <w:p w14:paraId="065D8F9C" w14:textId="6B6E97F9" w:rsidR="000A6636" w:rsidRPr="00445FB6" w:rsidRDefault="000A6636" w:rsidP="000A6636">
            <w:pPr>
              <w:spacing w:after="0" w:line="240" w:lineRule="auto"/>
              <w:rPr>
                <w:i/>
                <w:iCs/>
                <w:sz w:val="20"/>
                <w:szCs w:val="20"/>
              </w:rPr>
            </w:pPr>
            <w:r w:rsidRPr="00445FB6">
              <w:rPr>
                <w:sz w:val="20"/>
                <w:szCs w:val="20"/>
              </w:rPr>
              <w:t xml:space="preserve">- M. McAtee, G. Intano, A. Armstrong, B. Gutting. </w:t>
            </w:r>
            <w:r w:rsidRPr="00445FB6">
              <w:rPr>
                <w:i/>
                <w:iCs/>
                <w:sz w:val="20"/>
                <w:szCs w:val="20"/>
              </w:rPr>
              <w:t>Chemical and Biological Military</w:t>
            </w:r>
          </w:p>
          <w:p w14:paraId="605F1866" w14:textId="1897B271" w:rsidR="000A6636" w:rsidRPr="00445FB6" w:rsidRDefault="000A6636" w:rsidP="000A6636">
            <w:pPr>
              <w:spacing w:after="0" w:line="240" w:lineRule="auto"/>
              <w:rPr>
                <w:sz w:val="20"/>
                <w:szCs w:val="20"/>
              </w:rPr>
            </w:pPr>
            <w:r w:rsidRPr="00445FB6">
              <w:rPr>
                <w:i/>
                <w:iCs/>
                <w:sz w:val="20"/>
                <w:szCs w:val="20"/>
              </w:rPr>
              <w:t>Exposure Guidelines Development</w:t>
            </w:r>
            <w:r w:rsidRPr="00445FB6">
              <w:rPr>
                <w:sz w:val="20"/>
                <w:szCs w:val="20"/>
              </w:rPr>
              <w:t>. National Academies of Sciences, Engineering, and Medicine’s Committee on Toxicology. Washington, DC. September 17, 2018. All materials OUO.</w:t>
            </w:r>
          </w:p>
          <w:p w14:paraId="77DF3633" w14:textId="13D66254" w:rsidR="0010535B" w:rsidRPr="00445FB6" w:rsidRDefault="0010535B" w:rsidP="00C01CCB">
            <w:pPr>
              <w:spacing w:after="0" w:line="240" w:lineRule="auto"/>
              <w:rPr>
                <w:sz w:val="20"/>
                <w:szCs w:val="20"/>
              </w:rPr>
            </w:pPr>
            <w:r w:rsidRPr="00445FB6">
              <w:rPr>
                <w:sz w:val="20"/>
                <w:szCs w:val="20"/>
              </w:rPr>
              <w:t xml:space="preserve">- J. Charles, A. Armstrong, L. Galloway, K. Noto, F. Dolislager, M. Bellamy. </w:t>
            </w:r>
            <w:r w:rsidRPr="00445FB6">
              <w:rPr>
                <w:i/>
                <w:iCs/>
                <w:sz w:val="20"/>
                <w:szCs w:val="20"/>
              </w:rPr>
              <w:t>Determination of Time Period of Peak Cancer Risk from Exposure to Pure Isotopes Decaying and Ingrowing Progeny</w:t>
            </w:r>
            <w:r w:rsidRPr="00445FB6">
              <w:rPr>
                <w:sz w:val="20"/>
                <w:szCs w:val="20"/>
              </w:rPr>
              <w:t xml:space="preserve">. ORAU NESLS Poster Session, August 2018. </w:t>
            </w:r>
          </w:p>
          <w:p w14:paraId="641031DB" w14:textId="5D973A5F" w:rsidR="0010535B" w:rsidRPr="00445FB6" w:rsidRDefault="0010535B" w:rsidP="00C01CCB">
            <w:pPr>
              <w:spacing w:after="0" w:line="240" w:lineRule="auto"/>
              <w:rPr>
                <w:sz w:val="20"/>
                <w:szCs w:val="20"/>
              </w:rPr>
            </w:pPr>
            <w:r w:rsidRPr="00445FB6">
              <w:rPr>
                <w:sz w:val="20"/>
                <w:szCs w:val="20"/>
              </w:rPr>
              <w:t xml:space="preserve">- A. Armstrong, A. Watson, G. Intano. </w:t>
            </w:r>
            <w:r w:rsidRPr="00445FB6">
              <w:rPr>
                <w:i/>
                <w:iCs/>
                <w:sz w:val="20"/>
                <w:szCs w:val="20"/>
              </w:rPr>
              <w:t>Airborne Brucella spp. Data Quality for BME</w:t>
            </w:r>
            <w:r w:rsidRPr="00445FB6">
              <w:rPr>
                <w:sz w:val="20"/>
                <w:szCs w:val="20"/>
              </w:rPr>
              <w:t>Gs. Subject Matter Expert Worksho</w:t>
            </w:r>
            <w:r w:rsidR="009556AD" w:rsidRPr="00445FB6">
              <w:rPr>
                <w:sz w:val="20"/>
                <w:szCs w:val="20"/>
              </w:rPr>
              <w:t>p</w:t>
            </w:r>
            <w:r w:rsidRPr="00445FB6">
              <w:rPr>
                <w:sz w:val="20"/>
                <w:szCs w:val="20"/>
              </w:rPr>
              <w:t>. June 5, 2018. NCI Library, Fort Detrick,</w:t>
            </w:r>
            <w:r w:rsidR="00E07B0E" w:rsidRPr="00445FB6">
              <w:rPr>
                <w:sz w:val="20"/>
                <w:szCs w:val="20"/>
              </w:rPr>
              <w:t xml:space="preserve"> MD</w:t>
            </w:r>
            <w:r w:rsidRPr="00445FB6">
              <w:rPr>
                <w:sz w:val="20"/>
                <w:szCs w:val="20"/>
              </w:rPr>
              <w:t>. DoD APHC. All materials OUO.</w:t>
            </w:r>
          </w:p>
          <w:p w14:paraId="0F714425" w14:textId="5CDDB0A3" w:rsidR="00780FDB" w:rsidRPr="007C7FAB" w:rsidRDefault="00651D58" w:rsidP="00C01CCB">
            <w:pPr>
              <w:spacing w:after="0" w:line="240" w:lineRule="auto"/>
              <w:rPr>
                <w:sz w:val="20"/>
                <w:szCs w:val="20"/>
              </w:rPr>
            </w:pPr>
            <w:r w:rsidRPr="00445FB6">
              <w:rPr>
                <w:sz w:val="20"/>
                <w:szCs w:val="20"/>
              </w:rPr>
              <w:t xml:space="preserve">- A. Armstrong, F. Dolislager, L. Galloway, D. Stewart. </w:t>
            </w:r>
            <w:r w:rsidRPr="00445FB6">
              <w:rPr>
                <w:i/>
                <w:iCs/>
                <w:sz w:val="20"/>
                <w:szCs w:val="20"/>
              </w:rPr>
              <w:t>Risk Assessment Information System and Toxicity Metadata</w:t>
            </w:r>
            <w:r w:rsidRPr="00445FB6">
              <w:rPr>
                <w:sz w:val="20"/>
                <w:szCs w:val="20"/>
              </w:rPr>
              <w:t>. March 7, 2018. Aberdeen Proving Ground, M</w:t>
            </w:r>
            <w:r w:rsidR="008A48DA" w:rsidRPr="00445FB6">
              <w:rPr>
                <w:sz w:val="20"/>
                <w:szCs w:val="20"/>
              </w:rPr>
              <w:t>D</w:t>
            </w:r>
            <w:r w:rsidRPr="00445FB6">
              <w:rPr>
                <w:sz w:val="20"/>
                <w:szCs w:val="20"/>
              </w:rPr>
              <w:t>. DoD APHC. All materials OUO.</w:t>
            </w:r>
            <w:r w:rsidR="00C01CCB">
              <w:rPr>
                <w:sz w:val="20"/>
                <w:szCs w:val="20"/>
              </w:rPr>
              <w:t xml:space="preserve"> </w:t>
            </w:r>
          </w:p>
        </w:tc>
      </w:tr>
    </w:tbl>
    <w:tbl>
      <w:tblPr>
        <w:tblStyle w:val="PlainTable4"/>
        <w:tblpPr w:leftFromText="180" w:rightFromText="180" w:vertAnchor="text" w:horzAnchor="margin" w:tblpY="-159"/>
        <w:tblW w:w="5278" w:type="pct"/>
        <w:tblLayout w:type="fixed"/>
        <w:tblLook w:val="0620" w:firstRow="1" w:lastRow="0" w:firstColumn="0" w:lastColumn="0" w:noHBand="1" w:noVBand="1"/>
        <w:tblDescription w:val="Resume layout table"/>
      </w:tblPr>
      <w:tblGrid>
        <w:gridCol w:w="2070"/>
        <w:gridCol w:w="8190"/>
      </w:tblGrid>
      <w:tr w:rsidR="00334A60" w:rsidRPr="002A4CA8" w14:paraId="627FCA7E" w14:textId="77777777" w:rsidTr="00334A60">
        <w:trPr>
          <w:cnfStyle w:val="100000000000" w:firstRow="1" w:lastRow="0" w:firstColumn="0" w:lastColumn="0" w:oddVBand="0" w:evenVBand="0" w:oddHBand="0" w:evenHBand="0" w:firstRowFirstColumn="0" w:firstRowLastColumn="0" w:lastRowFirstColumn="0" w:lastRowLastColumn="0"/>
          <w:trHeight w:val="540"/>
        </w:trPr>
        <w:tc>
          <w:tcPr>
            <w:tcW w:w="2070" w:type="dxa"/>
          </w:tcPr>
          <w:p w14:paraId="5E00302E" w14:textId="77777777" w:rsidR="00334A60" w:rsidRPr="00960EDF" w:rsidRDefault="00334A60" w:rsidP="00334A60">
            <w:pPr>
              <w:pStyle w:val="Heading1"/>
              <w:contextualSpacing/>
              <w:jc w:val="left"/>
              <w:outlineLvl w:val="0"/>
              <w:rPr>
                <w:bCs/>
              </w:rPr>
            </w:pPr>
            <w:r>
              <w:lastRenderedPageBreak/>
              <w:t>PROFESSIONAl AFFILIATIONS</w:t>
            </w:r>
          </w:p>
        </w:tc>
        <w:tc>
          <w:tcPr>
            <w:tcW w:w="8190" w:type="dxa"/>
          </w:tcPr>
          <w:p w14:paraId="48453BE3" w14:textId="77777777" w:rsidR="00334A60" w:rsidRPr="00E4654D" w:rsidRDefault="00334A60" w:rsidP="00334A60">
            <w:pPr>
              <w:spacing w:after="0" w:line="240" w:lineRule="auto"/>
              <w:contextualSpacing/>
              <w:rPr>
                <w:rFonts w:ascii="Arial" w:eastAsia="Arial" w:hAnsi="Arial" w:cs="Times New Roman"/>
                <w:sz w:val="20"/>
                <w:szCs w:val="20"/>
              </w:rPr>
            </w:pPr>
            <w:r>
              <w:rPr>
                <w:rFonts w:ascii="Arial" w:eastAsia="Arial" w:hAnsi="Arial" w:cs="Times New Roman"/>
                <w:sz w:val="20"/>
                <w:szCs w:val="20"/>
              </w:rPr>
              <w:t>American Society of Microbiology</w:t>
            </w:r>
          </w:p>
          <w:p w14:paraId="231751E0" w14:textId="77777777" w:rsidR="00334A60" w:rsidRDefault="00334A60" w:rsidP="00334A60">
            <w:pPr>
              <w:spacing w:after="0" w:line="240" w:lineRule="auto"/>
              <w:contextualSpacing/>
              <w:rPr>
                <w:rFonts w:ascii="Arial" w:eastAsia="Arial" w:hAnsi="Arial" w:cs="Times New Roman"/>
                <w:sz w:val="20"/>
                <w:szCs w:val="20"/>
              </w:rPr>
            </w:pPr>
            <w:r>
              <w:rPr>
                <w:rFonts w:ascii="Arial" w:eastAsia="Arial" w:hAnsi="Arial" w:cs="Times New Roman"/>
                <w:bCs w:val="0"/>
                <w:sz w:val="20"/>
                <w:szCs w:val="20"/>
              </w:rPr>
              <w:t>The Society for Risk Analysis</w:t>
            </w:r>
          </w:p>
          <w:p w14:paraId="50ACD31E" w14:textId="77777777" w:rsidR="00334A60" w:rsidRDefault="00334A60" w:rsidP="00334A60">
            <w:pPr>
              <w:spacing w:after="0" w:line="240" w:lineRule="auto"/>
              <w:contextualSpacing/>
              <w:rPr>
                <w:rFonts w:ascii="Arial" w:eastAsia="Arial" w:hAnsi="Arial" w:cs="Times New Roman"/>
                <w:sz w:val="20"/>
                <w:szCs w:val="20"/>
              </w:rPr>
            </w:pPr>
            <w:r>
              <w:rPr>
                <w:rFonts w:ascii="Arial" w:eastAsia="Arial" w:hAnsi="Arial" w:cs="Times New Roman"/>
                <w:bCs w:val="0"/>
                <w:sz w:val="20"/>
                <w:szCs w:val="20"/>
              </w:rPr>
              <w:t>Society for Environmental Toxicology and Chemistry</w:t>
            </w:r>
          </w:p>
          <w:p w14:paraId="112C1073" w14:textId="288094A4" w:rsidR="00334A60" w:rsidRPr="002A4CA8" w:rsidRDefault="00334A60" w:rsidP="00334A60">
            <w:pPr>
              <w:tabs>
                <w:tab w:val="left" w:pos="6043"/>
              </w:tabs>
              <w:spacing w:after="0" w:line="240" w:lineRule="auto"/>
              <w:contextualSpacing/>
              <w:rPr>
                <w:rFonts w:ascii="Arial" w:eastAsia="Arial" w:hAnsi="Arial" w:cs="Times New Roman"/>
                <w:sz w:val="20"/>
                <w:szCs w:val="20"/>
              </w:rPr>
            </w:pPr>
            <w:r w:rsidRPr="00E4654D">
              <w:rPr>
                <w:rFonts w:ascii="Arial" w:eastAsia="Arial" w:hAnsi="Arial" w:cs="Times New Roman"/>
                <w:sz w:val="20"/>
                <w:szCs w:val="20"/>
              </w:rPr>
              <w:t>World Health Organization Chemical Risk Assessment Network</w:t>
            </w:r>
          </w:p>
        </w:tc>
      </w:tr>
      <w:tr w:rsidR="00334A60" w:rsidRPr="00140356" w14:paraId="7370CB1C" w14:textId="77777777" w:rsidTr="00334A60">
        <w:trPr>
          <w:trHeight w:val="126"/>
        </w:trPr>
        <w:tc>
          <w:tcPr>
            <w:tcW w:w="2070" w:type="dxa"/>
          </w:tcPr>
          <w:p w14:paraId="5B881EE3" w14:textId="77777777" w:rsidR="00334A60" w:rsidRPr="00E4654D" w:rsidRDefault="00334A60" w:rsidP="00334A60">
            <w:pPr>
              <w:pStyle w:val="Heading1"/>
              <w:contextualSpacing/>
              <w:jc w:val="left"/>
              <w:outlineLvl w:val="0"/>
            </w:pPr>
            <w:r>
              <w:t>Education</w:t>
            </w:r>
          </w:p>
        </w:tc>
        <w:tc>
          <w:tcPr>
            <w:tcW w:w="8190" w:type="dxa"/>
          </w:tcPr>
          <w:p w14:paraId="1015BF83" w14:textId="77777777" w:rsidR="00334A60" w:rsidRPr="0064512D" w:rsidRDefault="00334A60" w:rsidP="00334A60">
            <w:pPr>
              <w:spacing w:after="0" w:line="240" w:lineRule="auto"/>
              <w:contextualSpacing/>
              <w:rPr>
                <w:sz w:val="20"/>
                <w:szCs w:val="20"/>
              </w:rPr>
            </w:pPr>
            <w:r w:rsidRPr="0064512D">
              <w:rPr>
                <w:sz w:val="20"/>
                <w:szCs w:val="20"/>
              </w:rPr>
              <w:t>M.S. Microbiology, University of Georgia, 1989</w:t>
            </w:r>
          </w:p>
          <w:p w14:paraId="2D60BE49" w14:textId="77777777" w:rsidR="00334A60" w:rsidRPr="00960EDF" w:rsidRDefault="00334A60" w:rsidP="00334A60">
            <w:pPr>
              <w:spacing w:after="0" w:line="240" w:lineRule="auto"/>
              <w:contextualSpacing/>
              <w:rPr>
                <w:sz w:val="20"/>
                <w:szCs w:val="20"/>
              </w:rPr>
            </w:pPr>
            <w:r w:rsidRPr="0064512D">
              <w:rPr>
                <w:sz w:val="20"/>
                <w:szCs w:val="20"/>
              </w:rPr>
              <w:t>B.S Biology/Microbiology, Tennessee Technological University, 1986</w:t>
            </w:r>
          </w:p>
        </w:tc>
      </w:tr>
      <w:tr w:rsidR="00334A60" w:rsidRPr="002A4CA8" w14:paraId="6EC4DF4F" w14:textId="77777777" w:rsidTr="00334A60">
        <w:tc>
          <w:tcPr>
            <w:tcW w:w="2070" w:type="dxa"/>
          </w:tcPr>
          <w:p w14:paraId="492CF425" w14:textId="77777777" w:rsidR="00334A60" w:rsidRPr="00960EDF" w:rsidRDefault="00334A60" w:rsidP="00334A60">
            <w:pPr>
              <w:pStyle w:val="Heading1"/>
              <w:contextualSpacing/>
              <w:jc w:val="left"/>
              <w:outlineLvl w:val="0"/>
              <w:rPr>
                <w:color w:val="auto"/>
              </w:rPr>
            </w:pPr>
            <w:r>
              <w:t>AddREss</w:t>
            </w:r>
          </w:p>
        </w:tc>
        <w:tc>
          <w:tcPr>
            <w:tcW w:w="8190" w:type="dxa"/>
          </w:tcPr>
          <w:p w14:paraId="5C9F1CC3" w14:textId="77777777" w:rsidR="00334A60" w:rsidRDefault="00334A60" w:rsidP="00334A60">
            <w:pPr>
              <w:spacing w:after="0" w:line="240" w:lineRule="auto"/>
              <w:contextualSpacing/>
              <w:rPr>
                <w:rFonts w:ascii="Arial" w:eastAsia="Arial" w:hAnsi="Arial" w:cs="Times New Roman"/>
                <w:sz w:val="20"/>
                <w:szCs w:val="20"/>
              </w:rPr>
            </w:pPr>
            <w:r>
              <w:rPr>
                <w:rFonts w:ascii="Arial" w:eastAsia="Arial" w:hAnsi="Arial" w:cs="Times New Roman"/>
                <w:sz w:val="20"/>
                <w:szCs w:val="20"/>
              </w:rPr>
              <w:t>Anthony Armstrong</w:t>
            </w:r>
          </w:p>
          <w:p w14:paraId="5F1F3F34" w14:textId="77777777" w:rsidR="00334A60" w:rsidRDefault="00334A60" w:rsidP="00334A60">
            <w:pPr>
              <w:spacing w:after="0" w:line="240" w:lineRule="auto"/>
              <w:contextualSpacing/>
              <w:rPr>
                <w:rFonts w:ascii="Arial" w:eastAsia="Arial" w:hAnsi="Arial" w:cs="Times New Roman"/>
                <w:sz w:val="20"/>
                <w:szCs w:val="20"/>
              </w:rPr>
            </w:pPr>
            <w:r>
              <w:rPr>
                <w:rFonts w:ascii="Arial" w:eastAsia="Arial" w:hAnsi="Arial" w:cs="Times New Roman"/>
                <w:sz w:val="20"/>
                <w:szCs w:val="20"/>
              </w:rPr>
              <w:t>Environmental Sciences Division</w:t>
            </w:r>
          </w:p>
          <w:p w14:paraId="4CC889FA" w14:textId="77777777" w:rsidR="00334A60" w:rsidRDefault="00334A60" w:rsidP="00334A60">
            <w:pPr>
              <w:spacing w:after="0" w:line="240" w:lineRule="auto"/>
              <w:contextualSpacing/>
              <w:rPr>
                <w:rFonts w:ascii="Arial" w:eastAsia="Arial" w:hAnsi="Arial" w:cs="Times New Roman"/>
                <w:sz w:val="20"/>
                <w:szCs w:val="20"/>
              </w:rPr>
            </w:pPr>
            <w:r>
              <w:rPr>
                <w:rFonts w:ascii="Arial" w:eastAsia="Arial" w:hAnsi="Arial" w:cs="Times New Roman"/>
                <w:sz w:val="20"/>
                <w:szCs w:val="20"/>
              </w:rPr>
              <w:t>Oak Ridge National Laboratory</w:t>
            </w:r>
          </w:p>
          <w:p w14:paraId="44621EBA" w14:textId="77777777" w:rsidR="00334A60" w:rsidRDefault="00334A60" w:rsidP="00334A60">
            <w:pPr>
              <w:spacing w:after="0" w:line="240" w:lineRule="auto"/>
              <w:contextualSpacing/>
              <w:rPr>
                <w:rFonts w:ascii="Arial" w:eastAsia="Arial" w:hAnsi="Arial" w:cs="Times New Roman"/>
                <w:sz w:val="20"/>
                <w:szCs w:val="20"/>
              </w:rPr>
            </w:pPr>
            <w:r>
              <w:rPr>
                <w:rFonts w:ascii="Arial" w:eastAsia="Arial" w:hAnsi="Arial" w:cs="Times New Roman"/>
                <w:sz w:val="20"/>
                <w:szCs w:val="20"/>
              </w:rPr>
              <w:t>P.O Box 2008, Bldg. 1505, MS 6036</w:t>
            </w:r>
          </w:p>
          <w:p w14:paraId="0341966C" w14:textId="77777777" w:rsidR="00334A60" w:rsidRDefault="00334A60" w:rsidP="00334A60">
            <w:pPr>
              <w:spacing w:after="0" w:line="240" w:lineRule="auto"/>
              <w:contextualSpacing/>
              <w:rPr>
                <w:rFonts w:ascii="Arial" w:eastAsia="Arial" w:hAnsi="Arial" w:cs="Times New Roman"/>
                <w:sz w:val="20"/>
                <w:szCs w:val="20"/>
              </w:rPr>
            </w:pPr>
            <w:r>
              <w:rPr>
                <w:rFonts w:ascii="Arial" w:eastAsia="Arial" w:hAnsi="Arial" w:cs="Times New Roman"/>
                <w:sz w:val="20"/>
                <w:szCs w:val="20"/>
              </w:rPr>
              <w:t>Oak Ridge, TN  37831</w:t>
            </w:r>
          </w:p>
          <w:p w14:paraId="06346057" w14:textId="77777777" w:rsidR="00334A60" w:rsidRPr="0096280D" w:rsidRDefault="00334A60" w:rsidP="00334A60">
            <w:pPr>
              <w:spacing w:after="0" w:line="240" w:lineRule="auto"/>
              <w:contextualSpacing/>
              <w:rPr>
                <w:rFonts w:ascii="Arial" w:eastAsia="Arial" w:hAnsi="Arial" w:cs="Times New Roman"/>
                <w:sz w:val="20"/>
                <w:szCs w:val="20"/>
              </w:rPr>
            </w:pPr>
            <w:r>
              <w:rPr>
                <w:rFonts w:ascii="Arial" w:eastAsia="Arial" w:hAnsi="Arial" w:cs="Times New Roman"/>
                <w:sz w:val="20"/>
                <w:szCs w:val="20"/>
              </w:rPr>
              <w:t>armstrongaq@ornl.gov</w:t>
            </w:r>
          </w:p>
          <w:p w14:paraId="22609871" w14:textId="77777777" w:rsidR="00334A60" w:rsidRPr="002A4CA8" w:rsidRDefault="00334A60" w:rsidP="00334A60">
            <w:pPr>
              <w:spacing w:after="0" w:line="240" w:lineRule="auto"/>
              <w:contextualSpacing/>
              <w:rPr>
                <w:rFonts w:ascii="Arial" w:eastAsia="Arial" w:hAnsi="Arial" w:cs="Times New Roman"/>
                <w:sz w:val="20"/>
                <w:szCs w:val="20"/>
              </w:rPr>
            </w:pPr>
            <w:r w:rsidRPr="0096280D">
              <w:rPr>
                <w:rFonts w:ascii="Arial" w:eastAsia="Arial" w:hAnsi="Arial" w:cs="Times New Roman"/>
                <w:color w:val="auto"/>
                <w:sz w:val="20"/>
                <w:szCs w:val="20"/>
              </w:rPr>
              <w:t>Office: 1.865.576.1555</w:t>
            </w:r>
          </w:p>
        </w:tc>
      </w:tr>
    </w:tbl>
    <w:p w14:paraId="626504CB" w14:textId="2D450D91" w:rsidR="005406F6" w:rsidRPr="00C747DF" w:rsidRDefault="005406F6" w:rsidP="00C747DF">
      <w:pPr>
        <w:spacing w:after="0" w:line="240" w:lineRule="auto"/>
        <w:rPr>
          <w:rFonts w:eastAsia="Calibri" w:cstheme="minorHAnsi"/>
          <w:color w:val="auto"/>
          <w:sz w:val="20"/>
          <w:szCs w:val="20"/>
        </w:rPr>
      </w:pPr>
    </w:p>
    <w:sectPr w:rsidR="005406F6" w:rsidRPr="00C747DF">
      <w:footerReference w:type="default" r:id="rId6"/>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FEB8" w14:textId="77777777" w:rsidR="005C13C0" w:rsidRDefault="005C13C0" w:rsidP="00927723">
      <w:pPr>
        <w:spacing w:after="0" w:line="240" w:lineRule="auto"/>
      </w:pPr>
      <w:r>
        <w:separator/>
      </w:r>
    </w:p>
  </w:endnote>
  <w:endnote w:type="continuationSeparator" w:id="0">
    <w:p w14:paraId="7CBD9108" w14:textId="77777777" w:rsidR="005C13C0" w:rsidRDefault="005C13C0"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6C76" w14:textId="57E56570" w:rsidR="00046802" w:rsidRPr="000210C8" w:rsidRDefault="00B418C6" w:rsidP="00D70642">
    <w:pPr>
      <w:jc w:val="right"/>
      <w:rPr>
        <w:sz w:val="18"/>
        <w:szCs w:val="18"/>
      </w:rPr>
    </w:pPr>
    <w:r w:rsidRPr="000210C8">
      <w:rPr>
        <w:sz w:val="18"/>
        <w:szCs w:val="18"/>
      </w:rPr>
      <w:t xml:space="preserve">  </w:t>
    </w:r>
    <w:r w:rsidR="000210C8">
      <w:rPr>
        <w:sz w:val="18"/>
        <w:szCs w:val="18"/>
      </w:rPr>
      <w:t xml:space="preserve">    </w:t>
    </w:r>
    <w:r w:rsidRPr="000210C8">
      <w:rPr>
        <w:sz w:val="18"/>
        <w:szCs w:val="18"/>
      </w:rPr>
      <w:t xml:space="preserve"> </w:t>
    </w:r>
    <w:r w:rsidR="000210C8">
      <w:rPr>
        <w:sz w:val="18"/>
        <w:szCs w:val="18"/>
      </w:rPr>
      <w:tab/>
    </w:r>
    <w:r w:rsidRPr="000210C8">
      <w:rPr>
        <w:sz w:val="18"/>
        <w:szCs w:val="18"/>
      </w:rPr>
      <w:tab/>
    </w:r>
    <w:r w:rsidR="00B50C46" w:rsidRPr="000210C8">
      <w:rPr>
        <w:sz w:val="18"/>
        <w:szCs w:val="18"/>
      </w:rPr>
      <w:t xml:space="preserve">Page </w:t>
    </w:r>
    <w:r w:rsidR="00B50C46" w:rsidRPr="000210C8">
      <w:rPr>
        <w:sz w:val="18"/>
        <w:szCs w:val="18"/>
      </w:rPr>
      <w:fldChar w:fldCharType="begin"/>
    </w:r>
    <w:r w:rsidR="00B50C46" w:rsidRPr="000210C8">
      <w:rPr>
        <w:sz w:val="18"/>
        <w:szCs w:val="18"/>
      </w:rPr>
      <w:instrText xml:space="preserve"> PAGE </w:instrText>
    </w:r>
    <w:r w:rsidR="00B50C46" w:rsidRPr="000210C8">
      <w:rPr>
        <w:sz w:val="18"/>
        <w:szCs w:val="18"/>
      </w:rPr>
      <w:fldChar w:fldCharType="separate"/>
    </w:r>
    <w:r w:rsidR="00F132C7" w:rsidRPr="000210C8">
      <w:rPr>
        <w:noProof/>
        <w:sz w:val="18"/>
        <w:szCs w:val="18"/>
      </w:rPr>
      <w:t>2</w:t>
    </w:r>
    <w:r w:rsidR="00B50C46" w:rsidRPr="000210C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C931" w14:textId="77777777" w:rsidR="005C13C0" w:rsidRDefault="005C13C0" w:rsidP="00927723">
      <w:pPr>
        <w:spacing w:after="0" w:line="240" w:lineRule="auto"/>
      </w:pPr>
      <w:r>
        <w:separator/>
      </w:r>
    </w:p>
  </w:footnote>
  <w:footnote w:type="continuationSeparator" w:id="0">
    <w:p w14:paraId="04EB4F02" w14:textId="77777777" w:rsidR="005C13C0" w:rsidRDefault="005C13C0" w:rsidP="0092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DA"/>
    <w:rsid w:val="000043BB"/>
    <w:rsid w:val="00005F0E"/>
    <w:rsid w:val="00011687"/>
    <w:rsid w:val="000210C8"/>
    <w:rsid w:val="00024C76"/>
    <w:rsid w:val="00042028"/>
    <w:rsid w:val="00055047"/>
    <w:rsid w:val="00066150"/>
    <w:rsid w:val="00066AA1"/>
    <w:rsid w:val="000762E0"/>
    <w:rsid w:val="00090E53"/>
    <w:rsid w:val="000928BE"/>
    <w:rsid w:val="000935FB"/>
    <w:rsid w:val="000A0334"/>
    <w:rsid w:val="000A6636"/>
    <w:rsid w:val="000D47B3"/>
    <w:rsid w:val="000F52DB"/>
    <w:rsid w:val="000F74F8"/>
    <w:rsid w:val="0010535B"/>
    <w:rsid w:val="001075E4"/>
    <w:rsid w:val="00113CCA"/>
    <w:rsid w:val="00122D08"/>
    <w:rsid w:val="001312B1"/>
    <w:rsid w:val="00136BF5"/>
    <w:rsid w:val="00140356"/>
    <w:rsid w:val="00141D91"/>
    <w:rsid w:val="001528BE"/>
    <w:rsid w:val="001545E3"/>
    <w:rsid w:val="001559D5"/>
    <w:rsid w:val="0016115C"/>
    <w:rsid w:val="001617B8"/>
    <w:rsid w:val="0017228E"/>
    <w:rsid w:val="001870E7"/>
    <w:rsid w:val="00192871"/>
    <w:rsid w:val="00197AEF"/>
    <w:rsid w:val="001B5631"/>
    <w:rsid w:val="001C084C"/>
    <w:rsid w:val="001C1060"/>
    <w:rsid w:val="001C63B1"/>
    <w:rsid w:val="001D5B19"/>
    <w:rsid w:val="001D73D9"/>
    <w:rsid w:val="002001A2"/>
    <w:rsid w:val="0021061C"/>
    <w:rsid w:val="0022705D"/>
    <w:rsid w:val="00247DC0"/>
    <w:rsid w:val="0026051B"/>
    <w:rsid w:val="0027012D"/>
    <w:rsid w:val="00276272"/>
    <w:rsid w:val="00277D01"/>
    <w:rsid w:val="00280795"/>
    <w:rsid w:val="002826AD"/>
    <w:rsid w:val="00293B83"/>
    <w:rsid w:val="002A4CA8"/>
    <w:rsid w:val="002A51DD"/>
    <w:rsid w:val="002B0ED4"/>
    <w:rsid w:val="002C524B"/>
    <w:rsid w:val="002C61AD"/>
    <w:rsid w:val="003326C1"/>
    <w:rsid w:val="00334A60"/>
    <w:rsid w:val="003358FF"/>
    <w:rsid w:val="00340A0E"/>
    <w:rsid w:val="00346D44"/>
    <w:rsid w:val="003546B3"/>
    <w:rsid w:val="0036086B"/>
    <w:rsid w:val="00372022"/>
    <w:rsid w:val="003853A5"/>
    <w:rsid w:val="003946BC"/>
    <w:rsid w:val="003A41D1"/>
    <w:rsid w:val="003B603C"/>
    <w:rsid w:val="003E4A98"/>
    <w:rsid w:val="003E4D96"/>
    <w:rsid w:val="003E6D50"/>
    <w:rsid w:val="003F279E"/>
    <w:rsid w:val="003F5734"/>
    <w:rsid w:val="004146FB"/>
    <w:rsid w:val="00415B26"/>
    <w:rsid w:val="00425C9F"/>
    <w:rsid w:val="00431BCD"/>
    <w:rsid w:val="00432F1E"/>
    <w:rsid w:val="00433B0C"/>
    <w:rsid w:val="004431BD"/>
    <w:rsid w:val="0044369E"/>
    <w:rsid w:val="00445FB6"/>
    <w:rsid w:val="00453F43"/>
    <w:rsid w:val="00456BA7"/>
    <w:rsid w:val="004721C5"/>
    <w:rsid w:val="00477F6D"/>
    <w:rsid w:val="00482B1F"/>
    <w:rsid w:val="004946DB"/>
    <w:rsid w:val="004A34FF"/>
    <w:rsid w:val="004C0678"/>
    <w:rsid w:val="004C145B"/>
    <w:rsid w:val="004C5A5A"/>
    <w:rsid w:val="004C7878"/>
    <w:rsid w:val="004D2F69"/>
    <w:rsid w:val="004E1AE5"/>
    <w:rsid w:val="004F2514"/>
    <w:rsid w:val="004F77F8"/>
    <w:rsid w:val="00513EE9"/>
    <w:rsid w:val="00521686"/>
    <w:rsid w:val="00531356"/>
    <w:rsid w:val="005338D4"/>
    <w:rsid w:val="005406F6"/>
    <w:rsid w:val="00540EB4"/>
    <w:rsid w:val="00564FA1"/>
    <w:rsid w:val="005676FB"/>
    <w:rsid w:val="005807B5"/>
    <w:rsid w:val="005849E1"/>
    <w:rsid w:val="00590BC5"/>
    <w:rsid w:val="005A6F74"/>
    <w:rsid w:val="005B6034"/>
    <w:rsid w:val="005B68A0"/>
    <w:rsid w:val="005C13C0"/>
    <w:rsid w:val="005C2914"/>
    <w:rsid w:val="005C5955"/>
    <w:rsid w:val="005C6C67"/>
    <w:rsid w:val="005C756B"/>
    <w:rsid w:val="005D46E8"/>
    <w:rsid w:val="005E0906"/>
    <w:rsid w:val="005E1733"/>
    <w:rsid w:val="00612288"/>
    <w:rsid w:val="006414C2"/>
    <w:rsid w:val="006436AB"/>
    <w:rsid w:val="0064512D"/>
    <w:rsid w:val="00646B05"/>
    <w:rsid w:val="00651D58"/>
    <w:rsid w:val="006558BD"/>
    <w:rsid w:val="006574E0"/>
    <w:rsid w:val="00661DE4"/>
    <w:rsid w:val="00665960"/>
    <w:rsid w:val="00672F7F"/>
    <w:rsid w:val="006A3CE7"/>
    <w:rsid w:val="006A523B"/>
    <w:rsid w:val="006C71EE"/>
    <w:rsid w:val="006E20ED"/>
    <w:rsid w:val="006E2284"/>
    <w:rsid w:val="006F4CDA"/>
    <w:rsid w:val="006F68EC"/>
    <w:rsid w:val="0070601D"/>
    <w:rsid w:val="00712E27"/>
    <w:rsid w:val="00714DFC"/>
    <w:rsid w:val="00721EB0"/>
    <w:rsid w:val="00723BDA"/>
    <w:rsid w:val="007308EF"/>
    <w:rsid w:val="0073748A"/>
    <w:rsid w:val="007455BF"/>
    <w:rsid w:val="00745D71"/>
    <w:rsid w:val="00746FD3"/>
    <w:rsid w:val="00757B51"/>
    <w:rsid w:val="00780FDB"/>
    <w:rsid w:val="007860F0"/>
    <w:rsid w:val="00787882"/>
    <w:rsid w:val="007943E5"/>
    <w:rsid w:val="00795DAA"/>
    <w:rsid w:val="007A1541"/>
    <w:rsid w:val="007A4581"/>
    <w:rsid w:val="007B5439"/>
    <w:rsid w:val="007B66A2"/>
    <w:rsid w:val="007C115E"/>
    <w:rsid w:val="007C7FAB"/>
    <w:rsid w:val="007D17AE"/>
    <w:rsid w:val="007D2911"/>
    <w:rsid w:val="007E0F06"/>
    <w:rsid w:val="007F466A"/>
    <w:rsid w:val="00807953"/>
    <w:rsid w:val="00823028"/>
    <w:rsid w:val="008275D9"/>
    <w:rsid w:val="00833180"/>
    <w:rsid w:val="008406A7"/>
    <w:rsid w:val="00850715"/>
    <w:rsid w:val="00875FB6"/>
    <w:rsid w:val="008771FA"/>
    <w:rsid w:val="008A48DA"/>
    <w:rsid w:val="008A67C2"/>
    <w:rsid w:val="008B3786"/>
    <w:rsid w:val="008B5CB9"/>
    <w:rsid w:val="008B6C5F"/>
    <w:rsid w:val="008C0086"/>
    <w:rsid w:val="008C122D"/>
    <w:rsid w:val="008C507B"/>
    <w:rsid w:val="008D6277"/>
    <w:rsid w:val="008E08F1"/>
    <w:rsid w:val="008F099E"/>
    <w:rsid w:val="008F112C"/>
    <w:rsid w:val="008F748D"/>
    <w:rsid w:val="008F78E2"/>
    <w:rsid w:val="00901E43"/>
    <w:rsid w:val="0090394C"/>
    <w:rsid w:val="00905FC3"/>
    <w:rsid w:val="0092245D"/>
    <w:rsid w:val="00927723"/>
    <w:rsid w:val="00933B33"/>
    <w:rsid w:val="00933B93"/>
    <w:rsid w:val="009375DA"/>
    <w:rsid w:val="0093762E"/>
    <w:rsid w:val="009556AD"/>
    <w:rsid w:val="00960EDF"/>
    <w:rsid w:val="0096280D"/>
    <w:rsid w:val="00964AC4"/>
    <w:rsid w:val="009D10AB"/>
    <w:rsid w:val="009D5BD8"/>
    <w:rsid w:val="009D6A60"/>
    <w:rsid w:val="009E5AFA"/>
    <w:rsid w:val="00A2503E"/>
    <w:rsid w:val="00A32346"/>
    <w:rsid w:val="00A40BD5"/>
    <w:rsid w:val="00A43B87"/>
    <w:rsid w:val="00A477D6"/>
    <w:rsid w:val="00A51714"/>
    <w:rsid w:val="00A52D90"/>
    <w:rsid w:val="00A54DEC"/>
    <w:rsid w:val="00A54F57"/>
    <w:rsid w:val="00AA0637"/>
    <w:rsid w:val="00AA1A2C"/>
    <w:rsid w:val="00AA50B1"/>
    <w:rsid w:val="00AC67DF"/>
    <w:rsid w:val="00AC69EB"/>
    <w:rsid w:val="00AD4DA9"/>
    <w:rsid w:val="00AD54E8"/>
    <w:rsid w:val="00AE102B"/>
    <w:rsid w:val="00AF4E38"/>
    <w:rsid w:val="00AF7F14"/>
    <w:rsid w:val="00B244BD"/>
    <w:rsid w:val="00B418C6"/>
    <w:rsid w:val="00B50C46"/>
    <w:rsid w:val="00B56BDC"/>
    <w:rsid w:val="00B61551"/>
    <w:rsid w:val="00B64837"/>
    <w:rsid w:val="00B66947"/>
    <w:rsid w:val="00B81655"/>
    <w:rsid w:val="00B83E52"/>
    <w:rsid w:val="00B87B6B"/>
    <w:rsid w:val="00B96247"/>
    <w:rsid w:val="00BA619F"/>
    <w:rsid w:val="00BB7D80"/>
    <w:rsid w:val="00BC1FC1"/>
    <w:rsid w:val="00BC4E11"/>
    <w:rsid w:val="00BE41B6"/>
    <w:rsid w:val="00BE77CA"/>
    <w:rsid w:val="00BF11F9"/>
    <w:rsid w:val="00C01CCB"/>
    <w:rsid w:val="00C0445E"/>
    <w:rsid w:val="00C04F92"/>
    <w:rsid w:val="00C166FA"/>
    <w:rsid w:val="00C2041C"/>
    <w:rsid w:val="00C2402A"/>
    <w:rsid w:val="00C36F1A"/>
    <w:rsid w:val="00C4291F"/>
    <w:rsid w:val="00C5101B"/>
    <w:rsid w:val="00C53387"/>
    <w:rsid w:val="00C56E3C"/>
    <w:rsid w:val="00C6791D"/>
    <w:rsid w:val="00C67F83"/>
    <w:rsid w:val="00C747DF"/>
    <w:rsid w:val="00CA2EAC"/>
    <w:rsid w:val="00CA45E7"/>
    <w:rsid w:val="00CB2C40"/>
    <w:rsid w:val="00CD4CAC"/>
    <w:rsid w:val="00CE4E62"/>
    <w:rsid w:val="00D02E2F"/>
    <w:rsid w:val="00D150C6"/>
    <w:rsid w:val="00D22E7C"/>
    <w:rsid w:val="00D26FFF"/>
    <w:rsid w:val="00D31866"/>
    <w:rsid w:val="00D379CD"/>
    <w:rsid w:val="00D63B8E"/>
    <w:rsid w:val="00D64B0B"/>
    <w:rsid w:val="00D65788"/>
    <w:rsid w:val="00D70642"/>
    <w:rsid w:val="00D82DE0"/>
    <w:rsid w:val="00D83C6C"/>
    <w:rsid w:val="00D84AD0"/>
    <w:rsid w:val="00D94ECA"/>
    <w:rsid w:val="00DA01CA"/>
    <w:rsid w:val="00DB748C"/>
    <w:rsid w:val="00DC6483"/>
    <w:rsid w:val="00E02BD3"/>
    <w:rsid w:val="00E02E19"/>
    <w:rsid w:val="00E03BBF"/>
    <w:rsid w:val="00E07B0E"/>
    <w:rsid w:val="00E17C92"/>
    <w:rsid w:val="00E25365"/>
    <w:rsid w:val="00E349B0"/>
    <w:rsid w:val="00E4654D"/>
    <w:rsid w:val="00E545D6"/>
    <w:rsid w:val="00E6775C"/>
    <w:rsid w:val="00E70D46"/>
    <w:rsid w:val="00E71A06"/>
    <w:rsid w:val="00E7387E"/>
    <w:rsid w:val="00E73E04"/>
    <w:rsid w:val="00E82F01"/>
    <w:rsid w:val="00E90819"/>
    <w:rsid w:val="00EA04F5"/>
    <w:rsid w:val="00EA36B3"/>
    <w:rsid w:val="00EC02C8"/>
    <w:rsid w:val="00EC0865"/>
    <w:rsid w:val="00EC4021"/>
    <w:rsid w:val="00EC4572"/>
    <w:rsid w:val="00EC5EC2"/>
    <w:rsid w:val="00ED24C7"/>
    <w:rsid w:val="00ED5036"/>
    <w:rsid w:val="00ED6D6E"/>
    <w:rsid w:val="00EE59E0"/>
    <w:rsid w:val="00EE72FD"/>
    <w:rsid w:val="00EE7C72"/>
    <w:rsid w:val="00EF0D68"/>
    <w:rsid w:val="00EF6A3D"/>
    <w:rsid w:val="00F06A5B"/>
    <w:rsid w:val="00F132C7"/>
    <w:rsid w:val="00F1472F"/>
    <w:rsid w:val="00F1606B"/>
    <w:rsid w:val="00F36121"/>
    <w:rsid w:val="00F36760"/>
    <w:rsid w:val="00F46AEB"/>
    <w:rsid w:val="00F520C2"/>
    <w:rsid w:val="00F65A48"/>
    <w:rsid w:val="00F67D6C"/>
    <w:rsid w:val="00F86091"/>
    <w:rsid w:val="00F95041"/>
    <w:rsid w:val="00FB0CC1"/>
    <w:rsid w:val="00FB765F"/>
    <w:rsid w:val="00FC1F48"/>
    <w:rsid w:val="00FC53D1"/>
    <w:rsid w:val="00FD01F3"/>
    <w:rsid w:val="00FD0988"/>
    <w:rsid w:val="00FE6210"/>
    <w:rsid w:val="00FE6EDB"/>
    <w:rsid w:val="00FF1DDB"/>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763B"/>
  <w15:chartTrackingRefBased/>
  <w15:docId w15:val="{E8198F23-F447-4690-B441-54F248FF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CB"/>
  </w:style>
  <w:style w:type="paragraph" w:styleId="Heading1">
    <w:name w:val="heading 1"/>
    <w:basedOn w:val="Normal"/>
    <w:next w:val="Normal"/>
    <w:link w:val="Heading1Char"/>
    <w:uiPriority w:val="3"/>
    <w:unhideWhenUsed/>
    <w:qFormat/>
    <w:rsid w:val="00927723"/>
    <w:pPr>
      <w:pBdr>
        <w:right w:val="single" w:sz="8" w:space="4" w:color="7C9E0E" w:themeColor="accent1"/>
      </w:pBdr>
      <w:spacing w:after="0" w:line="240" w:lineRule="auto"/>
      <w:jc w:val="right"/>
      <w:outlineLvl w:val="0"/>
    </w:pPr>
    <w:rPr>
      <w:b/>
      <w:bCs/>
      <w:caps/>
      <w:color w:val="5C760A" w:themeColor="accent1" w:themeShade="BF"/>
      <w:kern w:val="20"/>
    </w:rPr>
  </w:style>
  <w:style w:type="paragraph" w:styleId="Heading2">
    <w:name w:val="heading 2"/>
    <w:basedOn w:val="Normal"/>
    <w:next w:val="Normal"/>
    <w:link w:val="Heading2Char"/>
    <w:uiPriority w:val="3"/>
    <w:unhideWhenUsed/>
    <w:qFormat/>
    <w:rsid w:val="00927723"/>
    <w:pPr>
      <w:keepNext/>
      <w:keepLines/>
      <w:spacing w:after="0"/>
      <w:outlineLvl w:val="1"/>
    </w:pPr>
    <w:rPr>
      <w:caps/>
      <w:color w:val="000000" w:themeColor="text1"/>
      <w:kern w:val="20"/>
    </w:rPr>
  </w:style>
  <w:style w:type="paragraph" w:styleId="Heading3">
    <w:name w:val="heading 3"/>
    <w:basedOn w:val="Normal"/>
    <w:next w:val="Normal"/>
    <w:link w:val="Heading3Char"/>
    <w:uiPriority w:val="3"/>
    <w:unhideWhenUsed/>
    <w:qFormat/>
    <w:rsid w:val="00927723"/>
    <w:pPr>
      <w:keepNext/>
      <w:keepLines/>
      <w:spacing w:after="80"/>
      <w:outlineLvl w:val="2"/>
    </w:pPr>
    <w:rPr>
      <w:caps/>
      <w:color w:val="595959" w:themeColor="text1" w:themeTint="A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27723"/>
    <w:rPr>
      <w:rFonts w:eastAsiaTheme="minorEastAsia"/>
      <w:b/>
      <w:bCs/>
      <w:caps/>
      <w:color w:val="5C760A" w:themeColor="accent1" w:themeShade="BF"/>
      <w:kern w:val="20"/>
      <w:lang w:eastAsia="ja-JP"/>
    </w:rPr>
  </w:style>
  <w:style w:type="character" w:customStyle="1" w:styleId="Heading2Char">
    <w:name w:val="Heading 2 Char"/>
    <w:basedOn w:val="DefaultParagraphFont"/>
    <w:link w:val="Heading2"/>
    <w:uiPriority w:val="3"/>
    <w:rsid w:val="00927723"/>
    <w:rPr>
      <w:rFonts w:eastAsiaTheme="minorEastAsia"/>
      <w:caps/>
      <w:color w:val="000000" w:themeColor="text1"/>
      <w:kern w:val="20"/>
      <w:lang w:eastAsia="ja-JP"/>
    </w:rPr>
  </w:style>
  <w:style w:type="character" w:customStyle="1" w:styleId="Heading3Char">
    <w:name w:val="Heading 3 Char"/>
    <w:basedOn w:val="DefaultParagraphFont"/>
    <w:link w:val="Heading3"/>
    <w:uiPriority w:val="3"/>
    <w:rsid w:val="00927723"/>
    <w:rPr>
      <w:rFonts w:eastAsiaTheme="minorEastAsia"/>
      <w:caps/>
      <w:color w:val="595959" w:themeColor="text1" w:themeTint="A6"/>
      <w:szCs w:val="17"/>
      <w:lang w:eastAsia="ja-JP"/>
    </w:rPr>
  </w:style>
  <w:style w:type="paragraph" w:styleId="NoSpacing">
    <w:name w:val="No Spacing"/>
    <w:uiPriority w:val="2"/>
    <w:qFormat/>
    <w:rsid w:val="00927723"/>
    <w:pPr>
      <w:spacing w:after="0" w:line="240" w:lineRule="auto"/>
    </w:pPr>
    <w:rPr>
      <w:rFonts w:eastAsiaTheme="minorEastAsia"/>
      <w:lang w:eastAsia="ja-JP"/>
    </w:rPr>
  </w:style>
  <w:style w:type="character" w:styleId="Strong">
    <w:name w:val="Strong"/>
    <w:basedOn w:val="DefaultParagraphFont"/>
    <w:uiPriority w:val="4"/>
    <w:qFormat/>
    <w:rsid w:val="00927723"/>
    <w:rPr>
      <w:b/>
      <w:bCs/>
    </w:rPr>
  </w:style>
  <w:style w:type="paragraph" w:styleId="Footer">
    <w:name w:val="footer"/>
    <w:basedOn w:val="Normal"/>
    <w:link w:val="FooterChar"/>
    <w:uiPriority w:val="99"/>
    <w:unhideWhenUsed/>
    <w:qFormat/>
    <w:rsid w:val="00927723"/>
    <w:pPr>
      <w:spacing w:before="240" w:after="0" w:line="240" w:lineRule="auto"/>
      <w:jc w:val="right"/>
    </w:pPr>
    <w:rPr>
      <w:b/>
      <w:bCs/>
      <w:caps/>
      <w:color w:val="5C760A" w:themeColor="accent1" w:themeShade="BF"/>
      <w:szCs w:val="16"/>
    </w:rPr>
  </w:style>
  <w:style w:type="character" w:customStyle="1" w:styleId="FooterChar">
    <w:name w:val="Footer Char"/>
    <w:basedOn w:val="DefaultParagraphFont"/>
    <w:link w:val="Footer"/>
    <w:uiPriority w:val="99"/>
    <w:rsid w:val="00927723"/>
    <w:rPr>
      <w:rFonts w:eastAsiaTheme="minorEastAsia"/>
      <w:b/>
      <w:bCs/>
      <w:caps/>
      <w:color w:val="5C760A" w:themeColor="accent1" w:themeShade="BF"/>
      <w:szCs w:val="16"/>
      <w:lang w:eastAsia="ja-JP"/>
    </w:rPr>
  </w:style>
  <w:style w:type="paragraph" w:styleId="Title">
    <w:name w:val="Title"/>
    <w:basedOn w:val="Normal"/>
    <w:next w:val="Normal"/>
    <w:link w:val="TitleChar"/>
    <w:uiPriority w:val="1"/>
    <w:qFormat/>
    <w:rsid w:val="00927723"/>
    <w:pPr>
      <w:spacing w:after="0" w:line="240" w:lineRule="auto"/>
      <w:contextualSpacing/>
    </w:pPr>
    <w:rPr>
      <w:rFonts w:asciiTheme="majorHAnsi" w:eastAsiaTheme="majorEastAsia" w:hAnsiTheme="majorHAnsi" w:cstheme="majorBidi"/>
      <w:caps/>
      <w:color w:val="5C760A" w:themeColor="accent1" w:themeShade="BF"/>
      <w:kern w:val="28"/>
      <w:sz w:val="48"/>
      <w:szCs w:val="56"/>
    </w:rPr>
  </w:style>
  <w:style w:type="character" w:customStyle="1" w:styleId="TitleChar">
    <w:name w:val="Title Char"/>
    <w:basedOn w:val="DefaultParagraphFont"/>
    <w:link w:val="Title"/>
    <w:uiPriority w:val="1"/>
    <w:rsid w:val="00927723"/>
    <w:rPr>
      <w:rFonts w:asciiTheme="majorHAnsi" w:eastAsiaTheme="majorEastAsia" w:hAnsiTheme="majorHAnsi" w:cstheme="majorBidi"/>
      <w:caps/>
      <w:color w:val="5C760A" w:themeColor="accent1" w:themeShade="BF"/>
      <w:kern w:val="28"/>
      <w:sz w:val="48"/>
      <w:szCs w:val="56"/>
      <w:lang w:eastAsia="ja-JP"/>
    </w:rPr>
  </w:style>
  <w:style w:type="paragraph" w:styleId="Header">
    <w:name w:val="header"/>
    <w:basedOn w:val="Normal"/>
    <w:link w:val="HeaderChar"/>
    <w:uiPriority w:val="99"/>
    <w:unhideWhenUsed/>
    <w:rsid w:val="00927723"/>
    <w:pPr>
      <w:spacing w:after="0" w:line="240" w:lineRule="auto"/>
    </w:pPr>
  </w:style>
  <w:style w:type="character" w:customStyle="1" w:styleId="HeaderChar">
    <w:name w:val="Header Char"/>
    <w:basedOn w:val="DefaultParagraphFont"/>
    <w:link w:val="Header"/>
    <w:uiPriority w:val="99"/>
    <w:rsid w:val="00927723"/>
    <w:rPr>
      <w:rFonts w:eastAsiaTheme="minorEastAsia"/>
      <w:color w:val="262626" w:themeColor="text1" w:themeTint="D9"/>
      <w:lang w:eastAsia="ja-JP"/>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11"/>
    <w:semiHidden/>
    <w:unhideWhenUsed/>
    <w:qFormat/>
    <w:rsid w:val="00927723"/>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927723"/>
    <w:rPr>
      <w:rFonts w:eastAsiaTheme="minorEastAsia"/>
      <w:color w:val="5A5A5A" w:themeColor="text1" w:themeTint="A5"/>
      <w:lang w:eastAsia="ja-JP"/>
    </w:rPr>
  </w:style>
  <w:style w:type="table" w:styleId="PlainTable4">
    <w:name w:val="Plain Table 4"/>
    <w:basedOn w:val="TableNormal"/>
    <w:uiPriority w:val="44"/>
    <w:rsid w:val="00346D44"/>
    <w:tblPr>
      <w:tblStyleRowBandSize w:val="1"/>
      <w:tblStyleColBandSize w:val="1"/>
      <w:tblCellMar>
        <w:left w:w="144" w:type="dxa"/>
        <w:bottom w:w="360" w:type="dxa"/>
        <w:right w:w="144" w:type="dxa"/>
      </w:tblCellMar>
    </w:tblPr>
    <w:tblStylePr w:type="firstRow">
      <w:pPr>
        <w:wordWrap/>
        <w:spacing w:afterLines="0" w:after="180" w:afterAutospacing="0" w:line="21" w:lineRule="atLeast"/>
      </w:pPr>
      <w:rPr>
        <w:b w:val="0"/>
        <w:bCs/>
        <w:i w:val="0"/>
      </w:rPr>
      <w:tblPr/>
      <w:tcPr>
        <w:tcMar>
          <w:top w:w="0" w:type="nil"/>
          <w:left w:w="144" w:type="dxa"/>
          <w:bottom w:w="576" w:type="dxa"/>
          <w:right w:w="144" w:type="dxa"/>
        </w:tcMar>
      </w:tcPr>
    </w:tblStylePr>
    <w:tblStylePr w:type="lastRow">
      <w:rPr>
        <w:b/>
        <w:bCs/>
      </w:rPr>
    </w:tblStylePr>
    <w:tblStylePr w:type="firstCol">
      <w:rPr>
        <w:b w:val="0"/>
        <w:bCs/>
        <w:i w:val="0"/>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rsid w:val="0034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92871"/>
    <w:pPr>
      <w:spacing w:after="120"/>
    </w:pPr>
  </w:style>
  <w:style w:type="character" w:customStyle="1" w:styleId="BodyTextChar">
    <w:name w:val="Body Text Char"/>
    <w:basedOn w:val="DefaultParagraphFont"/>
    <w:link w:val="BodyText"/>
    <w:uiPriority w:val="99"/>
    <w:semiHidden/>
    <w:rsid w:val="00192871"/>
  </w:style>
  <w:style w:type="character" w:styleId="Hyperlink">
    <w:name w:val="Hyperlink"/>
    <w:basedOn w:val="DefaultParagraphFont"/>
    <w:uiPriority w:val="99"/>
    <w:unhideWhenUsed/>
    <w:rsid w:val="00B418C6"/>
    <w:rPr>
      <w:color w:val="8EB610" w:themeColor="hyperlink"/>
      <w:u w:val="single"/>
    </w:rPr>
  </w:style>
  <w:style w:type="character" w:styleId="UnresolvedMention">
    <w:name w:val="Unresolved Mention"/>
    <w:basedOn w:val="DefaultParagraphFont"/>
    <w:uiPriority w:val="99"/>
    <w:semiHidden/>
    <w:unhideWhenUsed/>
    <w:rsid w:val="00B418C6"/>
    <w:rPr>
      <w:color w:val="605E5C"/>
      <w:shd w:val="clear" w:color="auto" w:fill="E1DFDD"/>
    </w:rPr>
  </w:style>
  <w:style w:type="paragraph" w:styleId="BalloonText">
    <w:name w:val="Balloon Text"/>
    <w:basedOn w:val="Normal"/>
    <w:link w:val="BalloonTextChar"/>
    <w:uiPriority w:val="99"/>
    <w:semiHidden/>
    <w:unhideWhenUsed/>
    <w:rsid w:val="00DA0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q\AppData\Roaming\Microsoft\Templates\Basic%20resum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resume</Template>
  <TotalTime>3</TotalTime>
  <Pages>5</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Anthony Q.</dc:creator>
  <cp:keywords/>
  <dc:description/>
  <cp:lastModifiedBy>Armstrong, Anthony</cp:lastModifiedBy>
  <cp:revision>3</cp:revision>
  <dcterms:created xsi:type="dcterms:W3CDTF">2021-10-21T18:58:00Z</dcterms:created>
  <dcterms:modified xsi:type="dcterms:W3CDTF">2021-10-21T18:59:00Z</dcterms:modified>
</cp:coreProperties>
</file>